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4" w:type="dxa"/>
        <w:tblCellSpacing w:w="15" w:type="dxa"/>
        <w:tblInd w:w="-70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4"/>
      </w:tblGrid>
      <w:tr w:rsidR="00AD0002" w:rsidRPr="00AD0002" w:rsidTr="00610302">
        <w:trPr>
          <w:trHeight w:val="3923"/>
          <w:tblCellSpacing w:w="15" w:type="dxa"/>
        </w:trPr>
        <w:tc>
          <w:tcPr>
            <w:tcW w:w="10684" w:type="dxa"/>
            <w:shd w:val="clear" w:color="auto" w:fill="A41E1C"/>
            <w:vAlign w:val="center"/>
            <w:hideMark/>
          </w:tcPr>
          <w:p w:rsidR="00AD0002" w:rsidRPr="00AD0002" w:rsidRDefault="00AD0002" w:rsidP="00AD0002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Cyrl-RS"/>
              </w:rPr>
            </w:pPr>
            <w:r w:rsidRPr="00AD0002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Cyrl-RS"/>
              </w:rPr>
              <w:t>ТАРИФА</w:t>
            </w:r>
          </w:p>
          <w:p w:rsidR="00AD0002" w:rsidRPr="00AD0002" w:rsidRDefault="00AD0002" w:rsidP="00AD0002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val="sr-Cyrl-RS"/>
              </w:rPr>
            </w:pPr>
            <w:r w:rsidRPr="00AD000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val="sr-Cyrl-RS"/>
              </w:rPr>
              <w:t>ЗА ОСТВАРИВАЊЕ П</w:t>
            </w:r>
            <w:bookmarkStart w:id="0" w:name="_GoBack"/>
            <w:bookmarkEnd w:id="0"/>
            <w:r w:rsidRPr="00AD0002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val="sr-Cyrl-RS"/>
              </w:rPr>
              <w:t>РАВА НА НАКНАДУ ЗА ЈАВНО САОПШТАВАЊЕ МУЗИЧКИХ ДЕЛА, ИНТЕРПРЕТАЦИЈА И ФОНОГРАМА У УГОСТИТЕЉСКИМ ОБЈЕКТИМА И ОБЈЕКТИМА ЗА ПРИРЕЂИВАЊЕ ИГАРА НА СРЕЋУ (РЕСТОРАНИ, КАФЕИ, КАФИЋИ, ИНТЕРНЕТ КАФЕИ, БАШТЕ, КИОСЦИ БРЗЕ ХРАНЕ КОЈИ ПОСЕДУЈУ ПРОСТОР ЗА СМЕШТАЈ ГОСТИЈУ, КЛАДИОНИЦЕ, КОЦКАРНИЦЕ, СПЛАВОВИ, ДИСКОТЕКЕ, КЛУБОВИ И ДРУГИ СЛИЧНИ ОБЈЕКТИ)</w:t>
            </w:r>
          </w:p>
          <w:p w:rsidR="00AD0002" w:rsidRPr="00AD0002" w:rsidRDefault="00AD0002" w:rsidP="00AD0002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sr-Cyrl-RS"/>
              </w:rPr>
            </w:pPr>
            <w:r w:rsidRPr="00AD0002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sr-Cyrl-RS"/>
              </w:rPr>
              <w:t>("Сл. гласник РС", бр. 114/2017)</w:t>
            </w:r>
          </w:p>
        </w:tc>
      </w:tr>
    </w:tbl>
    <w:p w:rsidR="00AD0002" w:rsidRPr="00AD0002" w:rsidRDefault="00AD0002" w:rsidP="00AD000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  <w:bookmarkStart w:id="1" w:name="clan_1"/>
      <w:bookmarkEnd w:id="1"/>
      <w:r w:rsidRPr="00AD0002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>Члан 1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Овом тарифом утврђује се висина и начин утврђивања ауторске накнаде и накнаде за интерпретаторе и произвођаче </w:t>
      </w:r>
      <w:proofErr w:type="spellStart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фонограма</w:t>
      </w:r>
      <w:proofErr w:type="spellEnd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, коју корисници музичких дела, интерпретација и </w:t>
      </w:r>
      <w:proofErr w:type="spellStart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фонограма</w:t>
      </w:r>
      <w:proofErr w:type="spellEnd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 у Републици Србији плаћају по основу: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1. јавног саопштавања музичких дела, интерпретација и </w:t>
      </w:r>
      <w:proofErr w:type="spellStart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фонограма</w:t>
      </w:r>
      <w:proofErr w:type="spellEnd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 који се емитују са репертоара организација за колективно остваривање ауторског и сродних права;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2. јавног саопштавања музичких дела, интерпретација и </w:t>
      </w:r>
      <w:proofErr w:type="spellStart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фонограма</w:t>
      </w:r>
      <w:proofErr w:type="spellEnd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 са носача звука и носача звука и слике из репертоара организација за колективно остваривање ауторског и сродних права,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и то корисници који обављају угоститељску делатност и приређивање игара на срећу (ресторани, кафеи, кафићи, интернет кафеи, баште, киосци брзе хране који поседују простор за смештај гостију, кладионице, коцкарнице, сплавови, дискотеке, клубови и други слични објекти).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  <w:bookmarkStart w:id="2" w:name="clan_2"/>
      <w:bookmarkEnd w:id="2"/>
      <w:r w:rsidRPr="00AD0002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>Члан 2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Поједини изрази употребљени у овој тарифи имају следеће значење: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1. Јавно саопштавање музичких дела, интерпретација и </w:t>
      </w:r>
      <w:proofErr w:type="spellStart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фонограма</w:t>
      </w:r>
      <w:proofErr w:type="spellEnd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 је: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а) јавно саопштавање музичких дела, интерпретација и </w:t>
      </w:r>
      <w:proofErr w:type="spellStart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фонограма</w:t>
      </w:r>
      <w:proofErr w:type="spellEnd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 који се емитују;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б) јавно саопштавање музичких дела, интерпретација и </w:t>
      </w:r>
      <w:proofErr w:type="spellStart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фонограма</w:t>
      </w:r>
      <w:proofErr w:type="spellEnd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 са носача звука и носача звука и слике.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lastRenderedPageBreak/>
        <w:t xml:space="preserve">2. Организације за колективно остваривање ауторског и сродних права (у даљем тексту: организације) су Организација музичких аутора Србије - </w:t>
      </w:r>
      <w:proofErr w:type="spellStart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Сокој</w:t>
      </w:r>
      <w:proofErr w:type="spellEnd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, </w:t>
      </w:r>
      <w:proofErr w:type="spellStart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Мишарска</w:t>
      </w:r>
      <w:proofErr w:type="spellEnd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 12-14, 11000, Београд (у даљем тексту: организација </w:t>
      </w:r>
      <w:proofErr w:type="spellStart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Сокој</w:t>
      </w:r>
      <w:proofErr w:type="spellEnd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), Организација за колективно остваривање права интерпретатора - ПИ (у даљем тексту: ПИ), Мајке Јевросиме 38, 11000 Београд и Организација произвођача </w:t>
      </w:r>
      <w:proofErr w:type="spellStart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фонограма</w:t>
      </w:r>
      <w:proofErr w:type="spellEnd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 Србије - ОФПС (у даљем тексту: организација ОФПС) </w:t>
      </w:r>
      <w:proofErr w:type="spellStart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Масарикова</w:t>
      </w:r>
      <w:proofErr w:type="spellEnd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 5/19, 11000 Београд.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3. Носиоци права су композитори, </w:t>
      </w:r>
      <w:proofErr w:type="spellStart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текстописци</w:t>
      </w:r>
      <w:proofErr w:type="spellEnd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, аранжери, интерпретатори и произвођачи </w:t>
      </w:r>
      <w:proofErr w:type="spellStart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фонограма</w:t>
      </w:r>
      <w:proofErr w:type="spellEnd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 и лица која су у складу са законом стекла права аутора, интерпретатора и произвођача </w:t>
      </w:r>
      <w:proofErr w:type="spellStart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фонограма</w:t>
      </w:r>
      <w:proofErr w:type="spellEnd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, које на основу закона и уговора заступају организације.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4. Корисници су физичка лица, предузетници и правна лица, удружења и други облици организовања, која у Републици Србији јавно саопштавају музичка дела, интерпретације и </w:t>
      </w:r>
      <w:proofErr w:type="spellStart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фонограме</w:t>
      </w:r>
      <w:proofErr w:type="spellEnd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 са репертоара организација на основу Закона о ауторском и сродним правима (у даљем тексту: Закон).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5. Накнада за јавно саопштавање музичких дела, интерпретација и </w:t>
      </w:r>
      <w:proofErr w:type="spellStart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фонограма</w:t>
      </w:r>
      <w:proofErr w:type="spellEnd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 (у даљем тексту: накнада за јавно саопштавање) је износ који је сваки корисник дужан да плати за јавно саопштавање музичких дела, интерпретација и </w:t>
      </w:r>
      <w:proofErr w:type="spellStart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фонограма</w:t>
      </w:r>
      <w:proofErr w:type="spellEnd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.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  <w:bookmarkStart w:id="3" w:name="clan_3"/>
      <w:bookmarkEnd w:id="3"/>
      <w:r w:rsidRPr="00AD0002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>Члан 3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Корисник је дужан да у складу са Законом о ауторском и сродним правима достави организацији податак о површини простора који користи за пријем гостију.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Корисници су дужни да пре почетка коришћења прибаве дозволу организације која остварује права аутора музике, закључивањем уговора о неискључивом уступању права коришћења репертоара музичких дела.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Корисници су дужни да овлашћеним лицима организације, у току контроле искоришћавања предмета заштите, омогуће увид у документацију и податке релевантне за обрачун накнаде која се према тарифи плаћа. Контрола искоришћавања предмета заштите врши се једном годишње за целу годину.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  <w:bookmarkStart w:id="4" w:name="clan_4"/>
      <w:bookmarkEnd w:id="4"/>
      <w:r w:rsidRPr="00AD0002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>Члан 4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Репертоар организација чине репертоари организација </w:t>
      </w:r>
      <w:proofErr w:type="spellStart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Сокој</w:t>
      </w:r>
      <w:proofErr w:type="spellEnd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, ОФПС и ПИ.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Репертоар организације </w:t>
      </w:r>
      <w:proofErr w:type="spellStart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Сокој</w:t>
      </w:r>
      <w:proofErr w:type="spellEnd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 чине музичка дела: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1. домаћих аутора и носилаца ауторског права, чланова </w:t>
      </w:r>
      <w:proofErr w:type="spellStart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Сокоја</w:t>
      </w:r>
      <w:proofErr w:type="spellEnd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, који су уговором уступили своја права </w:t>
      </w:r>
      <w:proofErr w:type="spellStart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Сокоју</w:t>
      </w:r>
      <w:proofErr w:type="spellEnd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, на основу члана 153. Закона;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2. аутора и носилаца ауторског права, чија права </w:t>
      </w:r>
      <w:proofErr w:type="spellStart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Сокој</w:t>
      </w:r>
      <w:proofErr w:type="spellEnd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 остварује на основу члана 180. став 1. Закона.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Репертоар организације ОФПС чине издати </w:t>
      </w:r>
      <w:proofErr w:type="spellStart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фонограми</w:t>
      </w:r>
      <w:proofErr w:type="spellEnd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: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1. домаћих произвођача </w:t>
      </w:r>
      <w:proofErr w:type="spellStart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фонограма</w:t>
      </w:r>
      <w:proofErr w:type="spellEnd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 и носилаца сродног права произвођача </w:t>
      </w:r>
      <w:proofErr w:type="spellStart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фонограма</w:t>
      </w:r>
      <w:proofErr w:type="spellEnd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 чланова ОФПС који су уговором уступили своја права ОФПС, на основу члана 153. Закона;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lastRenderedPageBreak/>
        <w:t xml:space="preserve">2. произвођача </w:t>
      </w:r>
      <w:proofErr w:type="spellStart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фонограма</w:t>
      </w:r>
      <w:proofErr w:type="spellEnd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 и носилаца сродног права произвођача </w:t>
      </w:r>
      <w:proofErr w:type="spellStart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фонограма</w:t>
      </w:r>
      <w:proofErr w:type="spellEnd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, чија права ОФПС остварује на основу члана 180. став. 1. Закона.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Репертоар ПИ чине интерпретације: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1. домаћих интерпретатора и носилаца права на интерпретације, чланова ПИ који су ПИ уступили своја искључива имовинско правна овлашћења, на основу члана 153. Закона;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2. интерпретатора и носилаца права на интерпретације, чија права ПИ остварује на основу члана 180. став 1. Закона.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  <w:bookmarkStart w:id="5" w:name="clan_5"/>
      <w:bookmarkEnd w:id="5"/>
      <w:r w:rsidRPr="00AD0002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>Члан 5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Износи накнада за јавно саопштавање су у бодовима и дати су на месечном нивоу.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Пуна месечна накнада плаћа се за сваки започети месец.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Накнада се плаћа независно од обима искоришћавања.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Вредност бода износи 11,00 динара.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Вредност бода се исказује без пореза на додату вредност.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Вредност бода се сваког 1. јануара усклађује са годишњим индексом потрошачких цена, према званичним подацима републичког органа надлежног за послове статистике.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  <w:bookmarkStart w:id="6" w:name="clan_6"/>
      <w:bookmarkEnd w:id="6"/>
      <w:r w:rsidRPr="00AD0002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>Члан 6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Износи накнада за јавно саопштавање утврђују се у зависности од: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1. површине простора који корисник користи за пријем гостију,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2. географске локације седишта корисника.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  <w:bookmarkStart w:id="7" w:name="clan_7"/>
      <w:bookmarkEnd w:id="7"/>
      <w:r w:rsidRPr="00AD0002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>Члан 7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Даном почетка примене ове тарифе престаје да важи Тарифа за остваривање права на накнаду за јавно саопштавање музичких дела, интерпретација и </w:t>
      </w:r>
      <w:proofErr w:type="spellStart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фонограма</w:t>
      </w:r>
      <w:proofErr w:type="spellEnd"/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 xml:space="preserve"> ("Службени гласник РС", број 117/13), и то у следећем делу: Тарифни број 1. - Угоститељска делатност (сплавови, дискотеке, клубови, барови, ресторани, кафеи, кафићи, интернет кафеи, баште, киосци брзе хране који поседују простор за смештај гостију и сл.) и део Тарифног броја 4. (кладионице и коцкарнице).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  <w:bookmarkStart w:id="8" w:name="clan_8"/>
      <w:bookmarkEnd w:id="8"/>
      <w:r w:rsidRPr="00AD0002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>Члан 8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Ова тарифа ступа на снагу осмог дана од дана објављивања у "Службеном гласнику Републике Србије", а примењује се од 1. јануара 2018. године.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  <w:bookmarkStart w:id="9" w:name="clan_9"/>
      <w:bookmarkEnd w:id="9"/>
      <w:r w:rsidRPr="00AD0002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>Члан 9</w:t>
      </w:r>
    </w:p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lastRenderedPageBreak/>
        <w:t>Разврставање корисника у групе, како је наведено у табели из овог члана, дато је у складу са чланом 3. Уредбе о утврђивању јединствене листе развијености региона и јединица локалне самоуправе за 2014. годину ("Службени гласник РС", број 104/14), Одлуком о одређивању зона на територији града Београда ("Службени лист града Београда", број 81/15) и Одлуком о локалним комуналним таксама ("Службени лист града Новог Сада", бр. 56/12, 69/13, 33/14, 35/14, 69/14, 74/16 и 21/17):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tbl>
      <w:tblPr>
        <w:tblW w:w="9408" w:type="dxa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  <w:gridCol w:w="1158"/>
      </w:tblGrid>
      <w:tr w:rsidR="00AD0002" w:rsidRPr="00AD0002" w:rsidTr="00610302">
        <w:trPr>
          <w:trHeight w:val="468"/>
          <w:tblCellSpacing w:w="0" w:type="dxa"/>
        </w:trPr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Бачка Паланка; Беочин; Бор; Ваљево; Врбас; Вршац; Кањижа; Крагујевац;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Лајковац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; Ниш; Нови Сад; Панчево; Пећинци; Пожаревац; Сента; Стара Пазова; Суботица; Ужице; Чачак.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Група 1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AD0002" w:rsidTr="00610302">
        <w:trPr>
          <w:trHeight w:val="970"/>
          <w:tblCellSpacing w:w="0" w:type="dxa"/>
        </w:trPr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Ада;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Александровац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Апатин; Аранђеловац; Ариље; Бачка Топола; Бачки Петровац; Бечеј; Врање; Врњачка Бања; Горњи Милановац; Зајечар; Зрењанин;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Инђија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Јагодина; Кикинда; Косјерић; Крушевац; Кула; Лапово; Мајданпек; Нови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Кнежевац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Пирот; Пожега;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Рача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Рума; Смедерево; Сомбор; Сремска Митровица; Сремски Карловци;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Темерин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Топола;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Чајетина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; Шабац.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Група 2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AD0002" w:rsidTr="00610302">
        <w:trPr>
          <w:trHeight w:val="2521"/>
          <w:tblCellSpacing w:w="0" w:type="dxa"/>
        </w:trPr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Алибунар; Бајина Башта;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Баточина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Бач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Бела Црква;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Богатић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Бољевац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;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Велика Плана; Велико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Градиште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Владимирци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Деспотовац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Жабаљ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Житиште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Ивањица;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Ириг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Кладово;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Кнић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Ковачица; Ковин;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Коцељева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;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Краљево; Лесковац; Лозница;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Лучани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Љубовија; Мали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Иђош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; Неготин;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Нова Црња; Нови Бечеј; Нови Пазар;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Осечина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Оџаци; Параћин; Пландиште; Прокупље;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Свилајнац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Сечањ; Смедеревска Паланка;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Сокобања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Србобран;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Тител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Трстеник;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Ћићевац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Ћуприја;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Уб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; Чока; Шид.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Група 3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AD0002" w:rsidTr="00610302">
        <w:trPr>
          <w:trHeight w:val="710"/>
          <w:tblCellSpacing w:w="0" w:type="dxa"/>
        </w:trPr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Алексинац; Блаце; Брус; Варварин; Власотинце;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Гаџин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 Хан; Димитровград; Дољевац; Жабари;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Жагубица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Књажевац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Крупањ;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Кучево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Љиг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Мало Црниће;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Мионица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Нова Варош;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Опово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Петровац на Млави; Прибој; Ражањ; Рашка;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Рековац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; Сјеница; Црна Трава.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Група 4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AD0002" w:rsidTr="00610302">
        <w:trPr>
          <w:trHeight w:val="726"/>
          <w:tblCellSpacing w:w="0" w:type="dxa"/>
        </w:trPr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Бабушница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Бела Паланка;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Бојник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Босилеград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Бујановац; Владичин Хан;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Голубац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Житорађа; Куршумлија;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Лебане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; Мали Зворник; Медвеђа;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Мерошина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; Прешево; Пријепоље; Сврљиг; Сурдулица; Трговиште; Тутин.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Девастирана подручја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AD0002" w:rsidTr="00610302">
        <w:trPr>
          <w:trHeight w:val="241"/>
          <w:tblCellSpacing w:w="0" w:type="dxa"/>
        </w:trPr>
        <w:tc>
          <w:tcPr>
            <w:tcW w:w="9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Београд зона И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AD0002" w:rsidTr="00610302">
        <w:trPr>
          <w:trHeight w:val="225"/>
          <w:tblCellSpacing w:w="0" w:type="dxa"/>
        </w:trPr>
        <w:tc>
          <w:tcPr>
            <w:tcW w:w="9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Београд зона II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AD0002" w:rsidTr="00610302">
        <w:trPr>
          <w:trHeight w:val="241"/>
          <w:tblCellSpacing w:w="0" w:type="dxa"/>
        </w:trPr>
        <w:tc>
          <w:tcPr>
            <w:tcW w:w="9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Београд зона III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AD0002" w:rsidTr="00610302">
        <w:trPr>
          <w:trHeight w:val="225"/>
          <w:tblCellSpacing w:w="0" w:type="dxa"/>
        </w:trPr>
        <w:tc>
          <w:tcPr>
            <w:tcW w:w="9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Београд зона IV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AD0002" w:rsidTr="00610302">
        <w:trPr>
          <w:trHeight w:val="241"/>
          <w:tblCellSpacing w:w="0" w:type="dxa"/>
        </w:trPr>
        <w:tc>
          <w:tcPr>
            <w:tcW w:w="9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Београд зона V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AD0002" w:rsidTr="00610302">
        <w:trPr>
          <w:trHeight w:val="241"/>
          <w:tblCellSpacing w:w="0" w:type="dxa"/>
        </w:trPr>
        <w:tc>
          <w:tcPr>
            <w:tcW w:w="9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Београд зона VI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AD0002" w:rsidTr="00610302">
        <w:trPr>
          <w:trHeight w:val="225"/>
          <w:tblCellSpacing w:w="0" w:type="dxa"/>
        </w:trPr>
        <w:tc>
          <w:tcPr>
            <w:tcW w:w="9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Београд зона VII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AD0002" w:rsidTr="00610302">
        <w:trPr>
          <w:trHeight w:val="241"/>
          <w:tblCellSpacing w:w="0" w:type="dxa"/>
        </w:trPr>
        <w:tc>
          <w:tcPr>
            <w:tcW w:w="9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Београд зона VIII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AD0002" w:rsidTr="00610302">
        <w:trPr>
          <w:trHeight w:val="241"/>
          <w:tblCellSpacing w:w="0" w:type="dxa"/>
        </w:trPr>
        <w:tc>
          <w:tcPr>
            <w:tcW w:w="9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Београд зона специфичних намена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AD0002" w:rsidTr="00610302">
        <w:trPr>
          <w:trHeight w:val="1438"/>
          <w:tblCellSpacing w:w="0" w:type="dxa"/>
        </w:trPr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Делови Новог Сада ограничени улицама Булевар ослобођења, Булевар Јаше Томића до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Кисачке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 улице,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Кисачком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 улицом до Улице Јована Цвијића, Улицом Јована Цвијића,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Гундулићевом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 улицом, улицом Јаше Игњатовића, Косовском улицом до Улице Марка Миљанова, Улицом Марка Миљанова, Београдским кејом, Кејом жртава рације, Сунчаним кејом до Моста слободе као и Булеваром цара Лазара, Булевар краља Петра И, Булевар Јаше Томића и у Петроварадину, Петроварадинска тврђава и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Штросмајерова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 улица.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Нови Сад</w:t>
            </w: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br/>
              <w:t>зона И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AD0002" w:rsidTr="00610302">
        <w:trPr>
          <w:trHeight w:val="468"/>
          <w:tblCellSpacing w:w="0" w:type="dxa"/>
        </w:trPr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lastRenderedPageBreak/>
              <w:t xml:space="preserve">Делови Новог Сада и Петроварадина који нису обухваћени у зони Нови Сад И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и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 Сремска Каменица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Нови Сад</w:t>
            </w: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br/>
              <w:t>зона II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AD0002" w:rsidTr="00610302">
        <w:trPr>
          <w:trHeight w:val="484"/>
          <w:tblCellSpacing w:w="0" w:type="dxa"/>
        </w:trPr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Насељена места која нису обухваћена у зони Нови Сад И </w:t>
            </w:r>
            <w:proofErr w:type="spellStart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и</w:t>
            </w:r>
            <w:proofErr w:type="spellEnd"/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 xml:space="preserve"> Нови Сад II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Нови Сад</w:t>
            </w: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br/>
              <w:t>зона III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</w:tbl>
    <w:p w:rsidR="00AD0002" w:rsidRPr="00AD0002" w:rsidRDefault="00AD0002" w:rsidP="00AD000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sr-Cyrl-RS"/>
        </w:rPr>
      </w:pPr>
      <w:r w:rsidRPr="00AD0002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Тарифни бројеви:</w:t>
      </w:r>
      <w:r w:rsidRPr="00003DD4">
        <w:rPr>
          <w:rFonts w:ascii="Arial" w:eastAsia="Times New Roman" w:hAnsi="Arial" w:cs="Arial"/>
          <w:color w:val="000000"/>
          <w:sz w:val="21"/>
          <w:szCs w:val="21"/>
          <w:lang w:val="sr-Cyrl-RS"/>
        </w:rPr>
        <w:t> </w:t>
      </w:r>
    </w:p>
    <w:p w:rsidR="00AD0002" w:rsidRPr="00AD0002" w:rsidRDefault="00AD0002" w:rsidP="00AD000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Cyrl-RS"/>
        </w:rPr>
      </w:pPr>
      <w:bookmarkStart w:id="10" w:name="str_1"/>
      <w:bookmarkEnd w:id="10"/>
      <w:r w:rsidRPr="00AD00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Cyrl-RS"/>
        </w:rPr>
        <w:t>Тарифни број 1.</w:t>
      </w:r>
      <w:r w:rsidRPr="00003D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Cyrl-RS"/>
        </w:rPr>
        <w:t> </w:t>
      </w:r>
    </w:p>
    <w:p w:rsidR="00AD0002" w:rsidRPr="00AD0002" w:rsidRDefault="00AD0002" w:rsidP="00AD000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  <w:bookmarkStart w:id="11" w:name="str_2"/>
      <w:bookmarkEnd w:id="11"/>
      <w:r w:rsidRPr="00AD0002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 xml:space="preserve">Јавно саопштавање музичких дела, интерпретација и </w:t>
      </w:r>
      <w:proofErr w:type="spellStart"/>
      <w:r w:rsidRPr="00AD0002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>фонограма</w:t>
      </w:r>
      <w:proofErr w:type="spellEnd"/>
      <w:r w:rsidRPr="00AD0002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 xml:space="preserve"> у угоститељским објектима и објектима за приређивање игара на срећу (ресторани, кафеи, кафићи, интернет кафеи, баште, киосци брзе хране који поседују простор за смештај гостију, кладионице, коцкарнице и други слични објекти независно од радног времена објекта)</w:t>
      </w:r>
      <w:r w:rsidRPr="00003DD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> </w:t>
      </w:r>
    </w:p>
    <w:tbl>
      <w:tblPr>
        <w:tblW w:w="9687" w:type="dxa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4"/>
        <w:gridCol w:w="775"/>
        <w:gridCol w:w="775"/>
        <w:gridCol w:w="969"/>
        <w:gridCol w:w="872"/>
        <w:gridCol w:w="1066"/>
        <w:gridCol w:w="1259"/>
        <w:gridCol w:w="1937"/>
      </w:tblGrid>
      <w:tr w:rsidR="00AD0002" w:rsidRPr="00003DD4" w:rsidTr="00610302">
        <w:trPr>
          <w:trHeight w:val="694"/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површина (м</w:t>
            </w:r>
            <w:r w:rsidRPr="00003DD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sr-Cyrl-RS"/>
              </w:rPr>
              <w:t>2</w:t>
            </w: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)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0-25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26-50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51-100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101-150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151-200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201-300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за сваких наредних 100 м</w:t>
            </w:r>
            <w:r w:rsidRPr="00003DD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sr-Cyrl-RS"/>
              </w:rPr>
              <w:t>2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или део тога увећати износ за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003DD4" w:rsidTr="00610302">
        <w:trPr>
          <w:trHeight w:val="235"/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девастирана подручја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31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62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73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91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122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243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31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003DD4" w:rsidTr="00610302">
        <w:trPr>
          <w:trHeight w:val="932"/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Београд зона VIII,</w:t>
            </w: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br/>
              <w:t>Београд - зона посебних</w:t>
            </w: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br/>
              <w:t>намена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46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92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110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137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182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364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46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003DD4" w:rsidTr="00610302">
        <w:trPr>
          <w:trHeight w:val="235"/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Београд зона VII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53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106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128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160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213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425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53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003DD4" w:rsidTr="00610302">
        <w:trPr>
          <w:trHeight w:val="473"/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Београд зона VI</w:t>
            </w: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br/>
              <w:t>Нови Сад зона III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61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122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146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182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243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485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61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003DD4" w:rsidTr="00610302">
        <w:trPr>
          <w:trHeight w:val="458"/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Група 4</w:t>
            </w: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br/>
              <w:t>Београд зона V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68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136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164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205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273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546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68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003DD4" w:rsidTr="00610302">
        <w:trPr>
          <w:trHeight w:val="473"/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Група 3</w:t>
            </w: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br/>
              <w:t>Београд зона IV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99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198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237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296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394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606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99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003DD4" w:rsidTr="00610302">
        <w:trPr>
          <w:trHeight w:val="458"/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Група 2</w:t>
            </w: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br/>
              <w:t>Београд зона III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122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244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292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364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485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667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122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003DD4" w:rsidTr="00610302">
        <w:trPr>
          <w:trHeight w:val="709"/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Група 1</w:t>
            </w: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br/>
              <w:t>Београд зона II</w:t>
            </w: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br/>
              <w:t>Нови Сад зона II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137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273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328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409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546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727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137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003DD4" w:rsidTr="00610302">
        <w:trPr>
          <w:trHeight w:val="458"/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Београд зона И</w:t>
            </w: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br/>
              <w:t>Нови Сад зона И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152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304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364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455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606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1213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152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</w:tbl>
    <w:p w:rsidR="00AD0002" w:rsidRPr="00AD0002" w:rsidRDefault="00AD0002" w:rsidP="00AD000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Cyrl-RS"/>
        </w:rPr>
      </w:pPr>
      <w:bookmarkStart w:id="12" w:name="str_3"/>
      <w:bookmarkEnd w:id="12"/>
      <w:r w:rsidRPr="00AD000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Cyrl-RS"/>
        </w:rPr>
        <w:t>Тарифни број 2.</w:t>
      </w:r>
      <w:r w:rsidRPr="00003DD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Cyrl-RS"/>
        </w:rPr>
        <w:t> </w:t>
      </w:r>
    </w:p>
    <w:p w:rsidR="00AD0002" w:rsidRPr="00AD0002" w:rsidRDefault="00AD0002" w:rsidP="00AD000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</w:pPr>
      <w:bookmarkStart w:id="13" w:name="str_4"/>
      <w:bookmarkEnd w:id="13"/>
      <w:r w:rsidRPr="00AD0002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 xml:space="preserve">Јавно саопштавање музичких дела, интерпретација и </w:t>
      </w:r>
      <w:proofErr w:type="spellStart"/>
      <w:r w:rsidRPr="00AD0002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>фонограма</w:t>
      </w:r>
      <w:proofErr w:type="spellEnd"/>
      <w:r w:rsidRPr="00AD0002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 xml:space="preserve"> у дискотекама, клубовима, на сплавовима и у другим сличним угоститељским објектима који имају радно време после 01:00 часова</w:t>
      </w:r>
      <w:r w:rsidRPr="00003DD4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/>
        </w:rPr>
        <w:t> </w:t>
      </w:r>
    </w:p>
    <w:tbl>
      <w:tblPr>
        <w:tblW w:w="9325" w:type="dxa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839"/>
        <w:gridCol w:w="1026"/>
        <w:gridCol w:w="1212"/>
        <w:gridCol w:w="1863"/>
      </w:tblGrid>
      <w:tr w:rsidR="00AD0002" w:rsidRPr="00AD0002" w:rsidTr="00610302">
        <w:trPr>
          <w:trHeight w:val="948"/>
          <w:tblCellSpacing w:w="0" w:type="dxa"/>
        </w:trPr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lastRenderedPageBreak/>
              <w:t>површина (м</w:t>
            </w:r>
            <w:r w:rsidRPr="00003DD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sr-Cyrl-RS"/>
              </w:rPr>
              <w:t>2</w:t>
            </w: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)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0-50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51-100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101-150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за сваких наредних 100 м</w:t>
            </w:r>
            <w:r w:rsidRPr="00003DD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sr-Cyrl-RS"/>
              </w:rPr>
              <w:t>2</w:t>
            </w: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br/>
              <w:t>или део тога увећати износ за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AD0002" w:rsidTr="00610302">
        <w:trPr>
          <w:trHeight w:val="2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девастирана подручја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109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137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182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137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AD0002" w:rsidTr="00610302">
        <w:trPr>
          <w:trHeight w:val="7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Београд зона VIII,</w:t>
            </w: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br/>
              <w:t>Београд - зона посебних</w:t>
            </w: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br/>
              <w:t>намена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164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205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273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205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AD0002" w:rsidTr="00610302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Београд зона VII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191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239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318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239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AD0002" w:rsidTr="00610302">
        <w:trPr>
          <w:trHeight w:val="4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Београд зона VI</w:t>
            </w: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br/>
              <w:t>Нови Сад зона III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218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273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364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273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AD0002" w:rsidTr="00610302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Група 4</w:t>
            </w: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br/>
              <w:t>Београд зона V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246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307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410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307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AD0002" w:rsidTr="00610302">
        <w:trPr>
          <w:trHeight w:val="4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Група 3</w:t>
            </w: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br/>
              <w:t>Београд зона IV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355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444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592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444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AD0002" w:rsidTr="00610302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Група 2</w:t>
            </w: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br/>
              <w:t>Београд зона III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437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546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728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546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AD0002" w:rsidTr="00610302">
        <w:trPr>
          <w:trHeight w:val="7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Група 1</w:t>
            </w: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br/>
              <w:t>Београд зона II</w:t>
            </w: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br/>
              <w:t>Нови Сад зона II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492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614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819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614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  <w:tr w:rsidR="00AD0002" w:rsidRPr="00AD0002" w:rsidTr="00610302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Београд зона И</w:t>
            </w: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br/>
              <w:t>Нови Сад зона И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546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682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910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0002" w:rsidRPr="00AD0002" w:rsidRDefault="00AD0002" w:rsidP="00AD00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sr-Cyrl-RS"/>
              </w:rPr>
            </w:pPr>
            <w:r w:rsidRPr="00AD0002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682</w:t>
            </w:r>
            <w:r w:rsidRPr="00003DD4">
              <w:rPr>
                <w:rFonts w:ascii="Arial" w:eastAsia="Times New Roman" w:hAnsi="Arial" w:cs="Arial"/>
                <w:sz w:val="21"/>
                <w:szCs w:val="21"/>
                <w:lang w:val="sr-Cyrl-RS"/>
              </w:rPr>
              <w:t> </w:t>
            </w:r>
          </w:p>
        </w:tc>
      </w:tr>
    </w:tbl>
    <w:p w:rsidR="00C06F3A" w:rsidRPr="00003DD4" w:rsidRDefault="00C06F3A">
      <w:pPr>
        <w:rPr>
          <w:lang w:val="sr-Cyrl-RS"/>
        </w:rPr>
      </w:pPr>
    </w:p>
    <w:sectPr w:rsidR="00C06F3A" w:rsidRPr="00003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02"/>
    <w:rsid w:val="00003DD4"/>
    <w:rsid w:val="00610302"/>
    <w:rsid w:val="00AD0002"/>
    <w:rsid w:val="00C0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C734C-86DB-4443-827A-34DECA8F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AD000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D0002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AD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AD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AD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0002"/>
  </w:style>
  <w:style w:type="paragraph" w:customStyle="1" w:styleId="wyq100---naslov-grupe-clanova-kurziv">
    <w:name w:val="wyq100---naslov-grupe-clanova-kurziv"/>
    <w:basedOn w:val="Normal"/>
    <w:rsid w:val="00AD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AD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AD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epen">
    <w:name w:val="stepen"/>
    <w:basedOn w:val="DefaultParagraphFont"/>
    <w:rsid w:val="00AD0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2018-02-19T09:33:00Z</dcterms:created>
  <dcterms:modified xsi:type="dcterms:W3CDTF">2018-02-19T09:33:00Z</dcterms:modified>
</cp:coreProperties>
</file>