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5D26" w:rsidTr="00005D2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05D26" w:rsidRDefault="00005D26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ОДЛУКА</w:t>
            </w:r>
          </w:p>
          <w:p w:rsidR="00005D26" w:rsidRDefault="00005D26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 УТВРЂИВАЊУ ВИСИНЕ И НАЧИНУ ПЛАЋАЊА ТАРИФА ЗА УСЛУГЕ ИЗ НАДЛЕЖНОСТИ АГЕНЦИЈЕ ЗА ЛЕКОВЕ И МЕДИЦИНСКА СРЕДСТВА СРБИЈЕ</w:t>
            </w:r>
          </w:p>
          <w:p w:rsidR="00005D26" w:rsidRDefault="00005D26">
            <w:pPr>
              <w:pStyle w:val="podnaslovpropisa"/>
            </w:pPr>
            <w:r>
              <w:t>("</w:t>
            </w:r>
            <w:proofErr w:type="spellStart"/>
            <w:r>
              <w:t>Сл</w:t>
            </w:r>
            <w:proofErr w:type="spellEnd"/>
            <w:r>
              <w:t xml:space="preserve">. </w:t>
            </w:r>
            <w:proofErr w:type="spellStart"/>
            <w:r>
              <w:t>гласник</w:t>
            </w:r>
            <w:proofErr w:type="spellEnd"/>
            <w:r>
              <w:t xml:space="preserve"> РС", </w:t>
            </w:r>
            <w:proofErr w:type="spellStart"/>
            <w:r>
              <w:t>бр</w:t>
            </w:r>
            <w:proofErr w:type="spellEnd"/>
            <w:r>
              <w:t>. 95/2017)</w:t>
            </w:r>
          </w:p>
        </w:tc>
      </w:tr>
    </w:tbl>
    <w:p w:rsidR="00005D26" w:rsidRDefault="00005D26" w:rsidP="00005D26">
      <w:pPr>
        <w:pStyle w:val="wyq110---naslov-clana"/>
      </w:pPr>
      <w:bookmarkStart w:id="0" w:name="str_1"/>
      <w:bookmarkStart w:id="1" w:name="str_2"/>
      <w:bookmarkStart w:id="2" w:name="_GoBack"/>
      <w:bookmarkEnd w:id="0"/>
      <w:bookmarkEnd w:id="1"/>
      <w:bookmarkEnd w:id="2"/>
      <w:r>
        <w:t xml:space="preserve">2.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</w:p>
    <w:p w:rsidR="00005D26" w:rsidRDefault="00005D26" w:rsidP="00005D26">
      <w:pPr>
        <w:pStyle w:val="clan"/>
      </w:pPr>
      <w:bookmarkStart w:id="3" w:name="clan_2"/>
      <w:bookmarkEnd w:id="3"/>
      <w:proofErr w:type="spellStart"/>
      <w:r>
        <w:t>Члан</w:t>
      </w:r>
      <w:proofErr w:type="spellEnd"/>
      <w:r>
        <w:t xml:space="preserve"> 2 </w:t>
      </w:r>
    </w:p>
    <w:p w:rsidR="00005D26" w:rsidRDefault="00005D26" w:rsidP="00005D26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57"/>
        <w:gridCol w:w="1197"/>
      </w:tblGrid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/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(РСД)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1)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лек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потпуне</w:t>
            </w:r>
            <w:proofErr w:type="spell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/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а)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  <w:r>
              <w:t xml:space="preserve">, </w:t>
            </w:r>
            <w:proofErr w:type="spellStart"/>
            <w:r>
              <w:t>јачину</w:t>
            </w:r>
            <w:proofErr w:type="spellEnd"/>
            <w:r>
              <w:t xml:space="preserve"> и </w:t>
            </w:r>
            <w:proofErr w:type="spellStart"/>
            <w:r>
              <w:t>паковање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460.000,00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б) </w:t>
            </w:r>
            <w:proofErr w:type="spellStart"/>
            <w:r>
              <w:t>сваки</w:t>
            </w:r>
            <w:proofErr w:type="spellEnd"/>
            <w:r>
              <w:t xml:space="preserve"> </w:t>
            </w:r>
            <w:proofErr w:type="spellStart"/>
            <w:r>
              <w:t>следећи</w:t>
            </w:r>
            <w:proofErr w:type="spellEnd"/>
            <w:r>
              <w:t xml:space="preserve">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240.000,00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в)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јачину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150.000,00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г)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додатног</w:t>
            </w:r>
            <w:proofErr w:type="spellEnd"/>
            <w:r>
              <w:t xml:space="preserve"> </w:t>
            </w:r>
            <w:proofErr w:type="spellStart"/>
            <w:r>
              <w:t>унутрашњег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и </w:t>
            </w:r>
            <w:proofErr w:type="spellStart"/>
            <w:r>
              <w:t>јачине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30.000,00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д)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додатну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30.000,00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2)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лек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скраћене</w:t>
            </w:r>
            <w:proofErr w:type="spell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/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а)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  <w:r>
              <w:t xml:space="preserve">, </w:t>
            </w:r>
            <w:proofErr w:type="spellStart"/>
            <w:r>
              <w:t>јачину</w:t>
            </w:r>
            <w:proofErr w:type="spellEnd"/>
            <w:r>
              <w:t xml:space="preserve"> и </w:t>
            </w:r>
            <w:proofErr w:type="spellStart"/>
            <w:r>
              <w:t>паковање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325.000,00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б) </w:t>
            </w:r>
            <w:proofErr w:type="spellStart"/>
            <w:r>
              <w:t>сваки</w:t>
            </w:r>
            <w:proofErr w:type="spellEnd"/>
            <w:r>
              <w:t xml:space="preserve"> </w:t>
            </w:r>
            <w:proofErr w:type="spellStart"/>
            <w:r>
              <w:t>следећи</w:t>
            </w:r>
            <w:proofErr w:type="spellEnd"/>
            <w:r>
              <w:t xml:space="preserve">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210.000,00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в)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јачину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120.000,00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г)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додатног</w:t>
            </w:r>
            <w:proofErr w:type="spellEnd"/>
            <w:r>
              <w:t xml:space="preserve"> </w:t>
            </w:r>
            <w:proofErr w:type="spellStart"/>
            <w:r>
              <w:t>унутрашњег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и </w:t>
            </w:r>
            <w:proofErr w:type="spellStart"/>
            <w:r>
              <w:t>јачине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30.000,00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д)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додатну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30.000,00</w:t>
            </w:r>
          </w:p>
        </w:tc>
      </w:tr>
    </w:tbl>
    <w:p w:rsidR="00005D26" w:rsidRDefault="00005D26" w:rsidP="00005D26">
      <w:pPr>
        <w:pStyle w:val="wyq110---naslov-clana"/>
      </w:pPr>
      <w:bookmarkStart w:id="4" w:name="str_3"/>
      <w:bookmarkEnd w:id="4"/>
      <w:r>
        <w:t xml:space="preserve">3.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условне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,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proofErr w:type="gramStart"/>
      <w:r>
        <w:t>посебним</w:t>
      </w:r>
      <w:proofErr w:type="spellEnd"/>
      <w:proofErr w:type="gramEnd"/>
      <w:r>
        <w:t xml:space="preserve"> </w:t>
      </w:r>
      <w:proofErr w:type="spellStart"/>
      <w:r>
        <w:t>околностима</w:t>
      </w:r>
      <w:proofErr w:type="spellEnd"/>
      <w:r>
        <w:t xml:space="preserve"> и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</w:p>
    <w:p w:rsidR="00005D26" w:rsidRDefault="00005D26" w:rsidP="00005D26">
      <w:pPr>
        <w:pStyle w:val="clan"/>
      </w:pPr>
      <w:bookmarkStart w:id="5" w:name="clan_3"/>
      <w:bookmarkEnd w:id="5"/>
      <w:proofErr w:type="spellStart"/>
      <w:r>
        <w:t>Члан</w:t>
      </w:r>
      <w:proofErr w:type="spellEnd"/>
      <w:r>
        <w:t xml:space="preserve"> 3 </w:t>
      </w:r>
    </w:p>
    <w:p w:rsidR="00005D26" w:rsidRDefault="00005D26" w:rsidP="00005D26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условне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и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околностима</w:t>
      </w:r>
      <w:proofErr w:type="spellEnd"/>
      <w:r>
        <w:t xml:space="preserve"> и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57"/>
        <w:gridCol w:w="1197"/>
      </w:tblGrid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а)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  <w:r>
              <w:t xml:space="preserve">, </w:t>
            </w:r>
            <w:proofErr w:type="spellStart"/>
            <w:r>
              <w:t>јачину</w:t>
            </w:r>
            <w:proofErr w:type="spellEnd"/>
            <w:r>
              <w:t xml:space="preserve"> и </w:t>
            </w:r>
            <w:proofErr w:type="spellStart"/>
            <w:r>
              <w:t>паковање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460.000,00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б) </w:t>
            </w:r>
            <w:proofErr w:type="spellStart"/>
            <w:r>
              <w:t>сваки</w:t>
            </w:r>
            <w:proofErr w:type="spellEnd"/>
            <w:r>
              <w:t xml:space="preserve"> </w:t>
            </w:r>
            <w:proofErr w:type="spellStart"/>
            <w:r>
              <w:t>следећи</w:t>
            </w:r>
            <w:proofErr w:type="spellEnd"/>
            <w:r>
              <w:t xml:space="preserve">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240.000,00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в)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јачину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150.000,00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г)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додатног</w:t>
            </w:r>
            <w:proofErr w:type="spellEnd"/>
            <w:r>
              <w:t xml:space="preserve"> </w:t>
            </w:r>
            <w:proofErr w:type="spellStart"/>
            <w:r>
              <w:t>унутрашњег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и </w:t>
            </w:r>
            <w:proofErr w:type="spellStart"/>
            <w:r>
              <w:t>јачине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30.000,00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д)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додатну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30.000,00</w:t>
            </w:r>
          </w:p>
        </w:tc>
      </w:tr>
    </w:tbl>
    <w:p w:rsidR="00005D26" w:rsidRDefault="00005D26" w:rsidP="00005D26">
      <w:pPr>
        <w:pStyle w:val="wyq110---naslov-clana"/>
      </w:pPr>
      <w:bookmarkStart w:id="6" w:name="str_4"/>
      <w:bookmarkEnd w:id="6"/>
      <w:r>
        <w:t xml:space="preserve">4.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обнове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</w:p>
    <w:p w:rsidR="00005D26" w:rsidRDefault="00005D26" w:rsidP="00005D26">
      <w:pPr>
        <w:pStyle w:val="clan"/>
      </w:pPr>
      <w:bookmarkStart w:id="7" w:name="clan_4"/>
      <w:bookmarkEnd w:id="7"/>
      <w:proofErr w:type="spellStart"/>
      <w:r>
        <w:t>Члан</w:t>
      </w:r>
      <w:proofErr w:type="spellEnd"/>
      <w:r>
        <w:t xml:space="preserve"> 4 </w:t>
      </w:r>
    </w:p>
    <w:p w:rsidR="00005D26" w:rsidRDefault="00005D26" w:rsidP="00005D26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обнове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57"/>
        <w:gridCol w:w="1197"/>
      </w:tblGrid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а)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  <w:r>
              <w:t xml:space="preserve">, </w:t>
            </w:r>
            <w:proofErr w:type="spellStart"/>
            <w:r>
              <w:t>јачину</w:t>
            </w:r>
            <w:proofErr w:type="spellEnd"/>
            <w:r>
              <w:t xml:space="preserve"> и </w:t>
            </w:r>
            <w:proofErr w:type="spellStart"/>
            <w:r>
              <w:t>паковање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265.000,00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б) </w:t>
            </w:r>
            <w:proofErr w:type="spellStart"/>
            <w:r>
              <w:t>сваки</w:t>
            </w:r>
            <w:proofErr w:type="spellEnd"/>
            <w:r>
              <w:t xml:space="preserve"> </w:t>
            </w:r>
            <w:proofErr w:type="spellStart"/>
            <w:r>
              <w:t>следећи</w:t>
            </w:r>
            <w:proofErr w:type="spellEnd"/>
            <w:r>
              <w:t xml:space="preserve">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160.000,00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в)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јачину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100.000,00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г)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додатног</w:t>
            </w:r>
            <w:proofErr w:type="spellEnd"/>
            <w:r>
              <w:t xml:space="preserve"> </w:t>
            </w:r>
            <w:proofErr w:type="spellStart"/>
            <w:r>
              <w:t>унутрашњег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и </w:t>
            </w:r>
            <w:proofErr w:type="spellStart"/>
            <w:r>
              <w:t>јачине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д)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додатну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20.000,00</w:t>
            </w:r>
          </w:p>
        </w:tc>
      </w:tr>
    </w:tbl>
    <w:p w:rsidR="00005D26" w:rsidRDefault="00005D26" w:rsidP="00005D26">
      <w:pPr>
        <w:pStyle w:val="clan"/>
      </w:pPr>
      <w:bookmarkStart w:id="8" w:name="clan_5"/>
      <w:bookmarkEnd w:id="8"/>
      <w:proofErr w:type="spellStart"/>
      <w:r>
        <w:t>Члан</w:t>
      </w:r>
      <w:proofErr w:type="spellEnd"/>
      <w:r>
        <w:t xml:space="preserve"> 5 </w:t>
      </w:r>
    </w:p>
    <w:p w:rsidR="00005D26" w:rsidRDefault="00005D26" w:rsidP="00005D26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57"/>
        <w:gridCol w:w="1197"/>
      </w:tblGrid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а)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  <w:r>
              <w:t xml:space="preserve">, </w:t>
            </w:r>
            <w:proofErr w:type="spellStart"/>
            <w:r>
              <w:t>јачину</w:t>
            </w:r>
            <w:proofErr w:type="spellEnd"/>
            <w:r>
              <w:t xml:space="preserve"> и </w:t>
            </w:r>
            <w:proofErr w:type="spellStart"/>
            <w:r>
              <w:t>паковање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265.000,00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б) </w:t>
            </w:r>
            <w:proofErr w:type="spellStart"/>
            <w:r>
              <w:t>сваки</w:t>
            </w:r>
            <w:proofErr w:type="spellEnd"/>
            <w:r>
              <w:t xml:space="preserve"> </w:t>
            </w:r>
            <w:proofErr w:type="spellStart"/>
            <w:r>
              <w:t>следећи</w:t>
            </w:r>
            <w:proofErr w:type="spellEnd"/>
            <w:r>
              <w:t xml:space="preserve"> </w:t>
            </w:r>
            <w:proofErr w:type="spellStart"/>
            <w:r>
              <w:t>фармацеутски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160.000,00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в)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јачину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100.000,00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г)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додатног</w:t>
            </w:r>
            <w:proofErr w:type="spellEnd"/>
            <w:r>
              <w:t xml:space="preserve"> </w:t>
            </w:r>
            <w:proofErr w:type="spellStart"/>
            <w:r>
              <w:t>унутрашњег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и </w:t>
            </w:r>
            <w:proofErr w:type="spellStart"/>
            <w:r>
              <w:t>јачине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д)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додатну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proofErr w:type="spellStart"/>
            <w:r>
              <w:t>Годишња</w:t>
            </w:r>
            <w:proofErr w:type="spellEnd"/>
            <w:r>
              <w:t xml:space="preserve"> </w:t>
            </w:r>
            <w:proofErr w:type="spellStart"/>
            <w:r>
              <w:t>тарифа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лек</w:t>
            </w:r>
            <w:proofErr w:type="spellEnd"/>
            <w:r>
              <w:t xml:space="preserve"> </w:t>
            </w:r>
            <w:proofErr w:type="spellStart"/>
            <w:r>
              <w:t>издате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50.000,00</w:t>
            </w:r>
          </w:p>
        </w:tc>
      </w:tr>
    </w:tbl>
    <w:p w:rsidR="00005D26" w:rsidRDefault="00005D26" w:rsidP="00005D26">
      <w:pPr>
        <w:pStyle w:val="normal0"/>
      </w:pPr>
      <w:proofErr w:type="spellStart"/>
      <w:r>
        <w:t>Годишња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 </w:t>
      </w:r>
      <w:proofErr w:type="spellStart"/>
      <w:proofErr w:type="gramStart"/>
      <w:r>
        <w:t>марта</w:t>
      </w:r>
      <w:proofErr w:type="spellEnd"/>
      <w:proofErr w:type="gram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важеће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1.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005D26" w:rsidRDefault="00005D26" w:rsidP="00005D26">
      <w:pPr>
        <w:pStyle w:val="clan"/>
      </w:pPr>
      <w:bookmarkStart w:id="9" w:name="clan_6"/>
      <w:bookmarkEnd w:id="9"/>
      <w:proofErr w:type="spellStart"/>
      <w:r>
        <w:t>Члан</w:t>
      </w:r>
      <w:proofErr w:type="spellEnd"/>
      <w:r>
        <w:t xml:space="preserve"> 6 </w:t>
      </w:r>
    </w:p>
    <w:p w:rsidR="00005D26" w:rsidRDefault="00005D26" w:rsidP="00005D26">
      <w:pPr>
        <w:pStyle w:val="normal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и </w:t>
      </w:r>
      <w:proofErr w:type="spellStart"/>
      <w:r>
        <w:t>обнове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стављање</w:t>
      </w:r>
      <w:proofErr w:type="spellEnd"/>
      <w:r>
        <w:t xml:space="preserve"> </w:t>
      </w:r>
      <w:proofErr w:type="spellStart"/>
      <w:r>
        <w:t>лека</w:t>
      </w:r>
      <w:proofErr w:type="spellEnd"/>
      <w:r>
        <w:t xml:space="preserve"> у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фармацеутски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,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јачину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фармацеутског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лека</w:t>
      </w:r>
      <w:proofErr w:type="spellEnd"/>
      <w:r>
        <w:t xml:space="preserve">,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додатног</w:t>
      </w:r>
      <w:proofErr w:type="spellEnd"/>
      <w:r>
        <w:t xml:space="preserve"> </w:t>
      </w:r>
      <w:proofErr w:type="spellStart"/>
      <w:r>
        <w:t>унутрашњег</w:t>
      </w:r>
      <w:proofErr w:type="spellEnd"/>
      <w:r>
        <w:t xml:space="preserve"> </w:t>
      </w:r>
      <w:proofErr w:type="spellStart"/>
      <w:r>
        <w:t>паковања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фармацеутског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и </w:t>
      </w:r>
      <w:proofErr w:type="spellStart"/>
      <w:r>
        <w:t>јачине</w:t>
      </w:r>
      <w:proofErr w:type="spellEnd"/>
      <w:r>
        <w:t xml:space="preserve"> и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додатну</w:t>
      </w:r>
      <w:proofErr w:type="spellEnd"/>
      <w:r>
        <w:t xml:space="preserve"> </w:t>
      </w:r>
      <w:proofErr w:type="spellStart"/>
      <w:r>
        <w:t>величину</w:t>
      </w:r>
      <w:proofErr w:type="spellEnd"/>
      <w:r>
        <w:t xml:space="preserve"> </w:t>
      </w:r>
      <w:proofErr w:type="spellStart"/>
      <w:r>
        <w:t>паковања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- </w:t>
      </w:r>
      <w:proofErr w:type="spellStart"/>
      <w:r>
        <w:t>плаћају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надокнаде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2. </w:t>
      </w:r>
      <w:proofErr w:type="spellStart"/>
      <w:proofErr w:type="gramStart"/>
      <w:r>
        <w:t>до</w:t>
      </w:r>
      <w:proofErr w:type="spellEnd"/>
      <w:proofErr w:type="gramEnd"/>
      <w:r>
        <w:t xml:space="preserve"> 4.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5.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ове</w:t>
      </w:r>
      <w:proofErr w:type="spellEnd"/>
      <w:proofErr w:type="gramEnd"/>
      <w:r>
        <w:t xml:space="preserve"> </w:t>
      </w:r>
      <w:proofErr w:type="spellStart"/>
      <w:r>
        <w:t>одлуке</w:t>
      </w:r>
      <w:proofErr w:type="spellEnd"/>
      <w:r>
        <w:t xml:space="preserve">. </w:t>
      </w:r>
    </w:p>
    <w:p w:rsidR="00005D26" w:rsidRDefault="00005D26" w:rsidP="00005D26">
      <w:pPr>
        <w:pStyle w:val="wyq110---naslov-clana"/>
      </w:pPr>
      <w:bookmarkStart w:id="10" w:name="str_5"/>
      <w:bookmarkEnd w:id="10"/>
      <w:r>
        <w:t xml:space="preserve">5.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</w:p>
    <w:p w:rsidR="00005D26" w:rsidRDefault="00005D26" w:rsidP="00005D26">
      <w:pPr>
        <w:pStyle w:val="clan"/>
      </w:pPr>
      <w:bookmarkStart w:id="11" w:name="clan_7"/>
      <w:bookmarkEnd w:id="11"/>
      <w:proofErr w:type="spellStart"/>
      <w:r>
        <w:t>Члан</w:t>
      </w:r>
      <w:proofErr w:type="spellEnd"/>
      <w:r>
        <w:t xml:space="preserve"> 7 </w:t>
      </w:r>
    </w:p>
    <w:p w:rsidR="00005D26" w:rsidRDefault="00005D26" w:rsidP="00005D26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варијације</w:t>
      </w:r>
      <w:proofErr w:type="spellEnd"/>
      <w:r>
        <w:t xml:space="preserve">)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57"/>
        <w:gridCol w:w="1197"/>
      </w:tblGrid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1) </w:t>
            </w:r>
            <w:proofErr w:type="spellStart"/>
            <w:r>
              <w:t>Варијације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 ИА, </w:t>
            </w:r>
            <w:proofErr w:type="spellStart"/>
            <w:r>
              <w:t>ИАин</w:t>
            </w:r>
            <w:proofErr w:type="spellEnd"/>
            <w:r>
              <w:t xml:space="preserve"> и ИБ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2) </w:t>
            </w:r>
            <w:proofErr w:type="spellStart"/>
            <w:r>
              <w:t>Варијације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47.000,00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3) </w:t>
            </w:r>
            <w:proofErr w:type="spellStart"/>
            <w:r>
              <w:t>Одобрење</w:t>
            </w:r>
            <w:proofErr w:type="spellEnd"/>
            <w:r>
              <w:t xml:space="preserve"> </w:t>
            </w:r>
            <w:proofErr w:type="spellStart"/>
            <w:r>
              <w:t>исте</w:t>
            </w:r>
            <w:proofErr w:type="spellEnd"/>
            <w:r>
              <w:t xml:space="preserve"> </w:t>
            </w:r>
            <w:proofErr w:type="spellStart"/>
            <w:r>
              <w:t>варијације</w:t>
            </w:r>
            <w:proofErr w:type="spellEnd"/>
            <w:r>
              <w:t xml:space="preserve"> у </w:t>
            </w:r>
            <w:proofErr w:type="spellStart"/>
            <w:r>
              <w:t>додатној</w:t>
            </w:r>
            <w:proofErr w:type="spellEnd"/>
            <w:r>
              <w:t xml:space="preserve"> </w:t>
            </w:r>
            <w:proofErr w:type="spellStart"/>
            <w:r>
              <w:t>јачини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фармацеутском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паковању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варијацију</w:t>
            </w:r>
            <w:proofErr w:type="spellEnd"/>
            <w:r>
              <w:t xml:space="preserve"> </w:t>
            </w:r>
            <w:proofErr w:type="spellStart"/>
            <w:r>
              <w:t>тип</w:t>
            </w:r>
            <w:proofErr w:type="spellEnd"/>
            <w:r>
              <w:t xml:space="preserve"> И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20.000,00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4) </w:t>
            </w:r>
            <w:proofErr w:type="spellStart"/>
            <w:r>
              <w:t>Одобрење</w:t>
            </w:r>
            <w:proofErr w:type="spellEnd"/>
            <w:r>
              <w:t xml:space="preserve"> </w:t>
            </w:r>
            <w:proofErr w:type="spellStart"/>
            <w:r>
              <w:t>исте</w:t>
            </w:r>
            <w:proofErr w:type="spellEnd"/>
            <w:r>
              <w:t xml:space="preserve"> </w:t>
            </w:r>
            <w:proofErr w:type="spellStart"/>
            <w:r>
              <w:t>варијације</w:t>
            </w:r>
            <w:proofErr w:type="spellEnd"/>
            <w:r>
              <w:t xml:space="preserve"> у </w:t>
            </w:r>
            <w:proofErr w:type="spellStart"/>
            <w:r>
              <w:t>додатној</w:t>
            </w:r>
            <w:proofErr w:type="spellEnd"/>
            <w:r>
              <w:t xml:space="preserve"> </w:t>
            </w:r>
            <w:proofErr w:type="spellStart"/>
            <w:r>
              <w:t>јачини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фармацеутском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паковању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варијацију</w:t>
            </w:r>
            <w:proofErr w:type="spellEnd"/>
            <w:r>
              <w:t xml:space="preserve"> </w:t>
            </w:r>
            <w:proofErr w:type="spellStart"/>
            <w:r>
              <w:t>тип</w:t>
            </w:r>
            <w:proofErr w:type="spellEnd"/>
            <w: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47.000,00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5) </w:t>
            </w:r>
            <w:proofErr w:type="spellStart"/>
            <w:r>
              <w:t>Варијације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  <w:r>
              <w:t xml:space="preserve"> 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дозвола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/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а) </w:t>
            </w:r>
            <w:proofErr w:type="spellStart"/>
            <w:r>
              <w:t>активну</w:t>
            </w:r>
            <w:proofErr w:type="spellEnd"/>
            <w:r>
              <w:t xml:space="preserve"> </w:t>
            </w:r>
            <w:proofErr w:type="spellStart"/>
            <w:r>
              <w:t>супстанцу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160.000,00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б) </w:t>
            </w:r>
            <w:proofErr w:type="spellStart"/>
            <w:r>
              <w:t>промену</w:t>
            </w:r>
            <w:proofErr w:type="spellEnd"/>
            <w:r>
              <w:t xml:space="preserve"> </w:t>
            </w:r>
            <w:proofErr w:type="spellStart"/>
            <w:r>
              <w:t>фармацеутског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150.000,00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в) </w:t>
            </w:r>
            <w:proofErr w:type="spellStart"/>
            <w:r>
              <w:t>промену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  <w:r>
              <w:t xml:space="preserve"> </w:t>
            </w:r>
            <w:proofErr w:type="spellStart"/>
            <w:r>
              <w:t>употребе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150.000,00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г) </w:t>
            </w:r>
            <w:proofErr w:type="spellStart"/>
            <w:r>
              <w:t>промену</w:t>
            </w:r>
            <w:proofErr w:type="spellEnd"/>
            <w:r>
              <w:t xml:space="preserve"> </w:t>
            </w:r>
            <w:proofErr w:type="spellStart"/>
            <w:r>
              <w:t>јачине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140.000,00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д) </w:t>
            </w:r>
            <w:proofErr w:type="spellStart"/>
            <w:r>
              <w:t>нова</w:t>
            </w:r>
            <w:proofErr w:type="spellEnd"/>
            <w:r>
              <w:t xml:space="preserve">/е </w:t>
            </w:r>
            <w:proofErr w:type="spellStart"/>
            <w:r>
              <w:t>индикација</w:t>
            </w:r>
            <w:proofErr w:type="spellEnd"/>
            <w:r>
              <w:t xml:space="preserve">/е 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160.000,00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ђ) </w:t>
            </w:r>
            <w:proofErr w:type="spellStart"/>
            <w:r>
              <w:t>циљна</w:t>
            </w:r>
            <w:proofErr w:type="spellEnd"/>
            <w:r>
              <w:t xml:space="preserve">/е </w:t>
            </w:r>
            <w:proofErr w:type="spellStart"/>
            <w:r>
              <w:t>врста</w:t>
            </w:r>
            <w:proofErr w:type="spellEnd"/>
            <w:r>
              <w:t>/е</w:t>
            </w:r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 xml:space="preserve">160.000,00 </w:t>
            </w:r>
          </w:p>
        </w:tc>
      </w:tr>
    </w:tbl>
    <w:p w:rsidR="00005D26" w:rsidRDefault="00005D26" w:rsidP="00005D26">
      <w:pPr>
        <w:pStyle w:val="clan"/>
      </w:pPr>
      <w:bookmarkStart w:id="12" w:name="clan_8"/>
      <w:bookmarkEnd w:id="12"/>
      <w:proofErr w:type="spellStart"/>
      <w:r>
        <w:t>Члан</w:t>
      </w:r>
      <w:proofErr w:type="spellEnd"/>
      <w:r>
        <w:t xml:space="preserve"> 8 </w:t>
      </w:r>
    </w:p>
    <w:p w:rsidR="00005D26" w:rsidRDefault="00005D26" w:rsidP="00005D26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варијацију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издата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, а </w:t>
      </w:r>
      <w:proofErr w:type="spellStart"/>
      <w:r>
        <w:t>наплаћује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варијација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ИАин</w:t>
      </w:r>
      <w:proofErr w:type="spellEnd"/>
      <w:r>
        <w:t xml:space="preserve">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варијације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готовог</w:t>
      </w:r>
      <w:proofErr w:type="spellEnd"/>
      <w:r>
        <w:t xml:space="preserve"> </w:t>
      </w:r>
      <w:proofErr w:type="spellStart"/>
      <w:r>
        <w:t>лека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, а </w:t>
      </w:r>
      <w:proofErr w:type="spellStart"/>
      <w:r>
        <w:t>наплаћује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варијација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ИА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ИАин</w:t>
      </w:r>
      <w:proofErr w:type="spellEnd"/>
      <w:r>
        <w:t>.</w:t>
      </w:r>
    </w:p>
    <w:p w:rsidR="00005D26" w:rsidRDefault="00005D26" w:rsidP="00005D26">
      <w:pPr>
        <w:pStyle w:val="wyq110---naslov-clana"/>
      </w:pPr>
      <w:bookmarkStart w:id="13" w:name="str_6"/>
      <w:bookmarkEnd w:id="13"/>
      <w:r>
        <w:t xml:space="preserve">6.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</w:p>
    <w:p w:rsidR="00005D26" w:rsidRDefault="00005D26" w:rsidP="00005D26">
      <w:pPr>
        <w:pStyle w:val="clan"/>
      </w:pPr>
      <w:bookmarkStart w:id="14" w:name="clan_9"/>
      <w:bookmarkEnd w:id="14"/>
      <w:proofErr w:type="spellStart"/>
      <w:r>
        <w:t>Члан</w:t>
      </w:r>
      <w:proofErr w:type="spellEnd"/>
      <w:r>
        <w:t xml:space="preserve"> 9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61"/>
        <w:gridCol w:w="1093"/>
      </w:tblGrid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1)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тарифе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19.000,00</w:t>
            </w:r>
          </w:p>
        </w:tc>
      </w:tr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r>
              <w:t xml:space="preserve">2)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тарифе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о </w:t>
            </w:r>
            <w:proofErr w:type="spellStart"/>
            <w:r>
              <w:t>упису</w:t>
            </w:r>
            <w:proofErr w:type="spellEnd"/>
            <w:r>
              <w:t xml:space="preserve"> у </w:t>
            </w:r>
            <w:proofErr w:type="spellStart"/>
            <w:r>
              <w:t>регистар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15.000,00</w:t>
            </w:r>
          </w:p>
        </w:tc>
      </w:tr>
    </w:tbl>
    <w:p w:rsidR="00005D26" w:rsidRDefault="00005D26" w:rsidP="00005D26">
      <w:pPr>
        <w:pStyle w:val="wyq110---naslov-clana"/>
      </w:pPr>
      <w:bookmarkStart w:id="15" w:name="str_7"/>
      <w:bookmarkEnd w:id="15"/>
      <w:r>
        <w:t xml:space="preserve">7.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</w:p>
    <w:p w:rsidR="00005D26" w:rsidRDefault="00005D26" w:rsidP="00005D26">
      <w:pPr>
        <w:pStyle w:val="clan"/>
      </w:pPr>
      <w:bookmarkStart w:id="16" w:name="clan_10"/>
      <w:bookmarkEnd w:id="16"/>
      <w:proofErr w:type="spellStart"/>
      <w:r>
        <w:t>Члан</w:t>
      </w:r>
      <w:proofErr w:type="spellEnd"/>
      <w:r>
        <w:t xml:space="preserve"> 10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06"/>
        <w:gridCol w:w="1148"/>
      </w:tblGrid>
      <w:tr w:rsidR="00005D26" w:rsidTr="00005D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0"/>
            </w:pP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тарифе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о </w:t>
            </w:r>
            <w:proofErr w:type="spellStart"/>
            <w:r>
              <w:t>престанку</w:t>
            </w:r>
            <w:proofErr w:type="spellEnd"/>
            <w:r>
              <w:t xml:space="preserve"> </w:t>
            </w:r>
            <w:proofErr w:type="spellStart"/>
            <w:r>
              <w:t>важења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5D26" w:rsidRDefault="00005D26">
            <w:pPr>
              <w:pStyle w:val="normaltd"/>
            </w:pPr>
            <w:r>
              <w:t>10.000,00</w:t>
            </w:r>
          </w:p>
        </w:tc>
      </w:tr>
    </w:tbl>
    <w:p w:rsidR="004C5D69" w:rsidRPr="00005D26" w:rsidRDefault="004C5D69" w:rsidP="00005D26"/>
    <w:sectPr w:rsidR="004C5D69" w:rsidRPr="0000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9E"/>
    <w:rsid w:val="00005D26"/>
    <w:rsid w:val="004C5D69"/>
    <w:rsid w:val="006761DA"/>
    <w:rsid w:val="007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9BA13-DB36-430A-BACC-60BD0A36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579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579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B579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7B579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B57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B579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D2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0">
    <w:name w:val="normal"/>
    <w:basedOn w:val="Normal"/>
    <w:rsid w:val="00005D2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005D2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Tabakovic, Nikola</cp:lastModifiedBy>
  <cp:revision>3</cp:revision>
  <dcterms:created xsi:type="dcterms:W3CDTF">2017-11-08T16:42:00Z</dcterms:created>
  <dcterms:modified xsi:type="dcterms:W3CDTF">2017-11-08T16:43:00Z</dcterms:modified>
</cp:coreProperties>
</file>