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</w:tblGrid>
      <w:tr w:rsidR="004E47FC" w:rsidTr="004E47FC">
        <w:trPr>
          <w:trHeight w:val="2323"/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E47FC" w:rsidRDefault="004E47FC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4E47FC" w:rsidRDefault="004E47FC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3"/>
                <w:szCs w:val="33"/>
              </w:rPr>
            </w:pPr>
            <w:r>
              <w:rPr>
                <w:rFonts w:ascii="Arial" w:hAnsi="Arial" w:cs="Arial"/>
                <w:color w:val="FFFFFF"/>
                <w:sz w:val="33"/>
                <w:szCs w:val="33"/>
              </w:rPr>
              <w:t>О ВИСИНИ ПОСЕБНЕ НАКНАДЕ ЗА УПОТРЕБУ ЈАВНОГ ПУТА, ЊЕГОВОГ ДЕЛА И ПУТНОГ ОБЈЕКТА (ПУТАРИНА)</w:t>
            </w:r>
          </w:p>
          <w:p w:rsidR="004E47FC" w:rsidRDefault="004E47FC">
            <w:pPr>
              <w:pStyle w:val="podnaslovpropisa"/>
              <w:rPr>
                <w:sz w:val="27"/>
                <w:szCs w:val="27"/>
              </w:rPr>
            </w:pPr>
            <w:r>
              <w:rPr>
                <w:i w:val="0"/>
                <w:iCs w:val="0"/>
                <w:sz w:val="27"/>
                <w:szCs w:val="27"/>
              </w:rPr>
              <w:t>("</w:t>
            </w:r>
            <w:proofErr w:type="spellStart"/>
            <w:r>
              <w:rPr>
                <w:i w:val="0"/>
                <w:iCs w:val="0"/>
                <w:sz w:val="27"/>
                <w:szCs w:val="27"/>
              </w:rPr>
              <w:t>Сл</w:t>
            </w:r>
            <w:proofErr w:type="spellEnd"/>
            <w:r>
              <w:rPr>
                <w:i w:val="0"/>
                <w:iCs w:val="0"/>
                <w:sz w:val="27"/>
                <w:szCs w:val="27"/>
              </w:rPr>
              <w:t xml:space="preserve">. </w:t>
            </w:r>
            <w:proofErr w:type="spellStart"/>
            <w:r>
              <w:rPr>
                <w:i w:val="0"/>
                <w:iCs w:val="0"/>
                <w:sz w:val="27"/>
                <w:szCs w:val="27"/>
              </w:rPr>
              <w:t>гласник</w:t>
            </w:r>
            <w:proofErr w:type="spellEnd"/>
            <w:r>
              <w:rPr>
                <w:i w:val="0"/>
                <w:iCs w:val="0"/>
                <w:sz w:val="27"/>
                <w:szCs w:val="27"/>
              </w:rPr>
              <w:t xml:space="preserve"> РС", </w:t>
            </w:r>
            <w:proofErr w:type="spellStart"/>
            <w:r>
              <w:rPr>
                <w:i w:val="0"/>
                <w:iCs w:val="0"/>
                <w:sz w:val="27"/>
                <w:szCs w:val="27"/>
              </w:rPr>
              <w:t>бр</w:t>
            </w:r>
            <w:proofErr w:type="spellEnd"/>
            <w:r>
              <w:rPr>
                <w:i w:val="0"/>
                <w:iCs w:val="0"/>
                <w:sz w:val="27"/>
                <w:szCs w:val="27"/>
              </w:rPr>
              <w:t xml:space="preserve">. 56/2006, 42/2007, 126/2007, 20/2008, 12/2009, 78/2014, 93/2015, 95/2015 - </w:t>
            </w:r>
            <w:proofErr w:type="spellStart"/>
            <w:r>
              <w:rPr>
                <w:i w:val="0"/>
                <w:iCs w:val="0"/>
                <w:sz w:val="27"/>
                <w:szCs w:val="27"/>
              </w:rPr>
              <w:t>испр</w:t>
            </w:r>
            <w:proofErr w:type="spellEnd"/>
            <w:r>
              <w:rPr>
                <w:i w:val="0"/>
                <w:iCs w:val="0"/>
                <w:sz w:val="27"/>
                <w:szCs w:val="27"/>
              </w:rPr>
              <w:t>., 95/2016, 109/2016, 90/2017 и 106/2017)</w:t>
            </w:r>
          </w:p>
        </w:tc>
      </w:tr>
    </w:tbl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утврђује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посебне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употребу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његовог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објекта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E47FC" w:rsidRDefault="004E47FC" w:rsidP="004E47FC">
      <w:pPr>
        <w:pStyle w:val="normaluvuceni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1) </w:t>
      </w:r>
      <w:proofErr w:type="spellStart"/>
      <w:proofErr w:type="gramStart"/>
      <w:r>
        <w:rPr>
          <w:color w:val="000000"/>
          <w:sz w:val="21"/>
          <w:szCs w:val="21"/>
        </w:rPr>
        <w:t>за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моторна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возила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регистрована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територији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Србије</w:t>
      </w:r>
      <w:proofErr w:type="spellEnd"/>
      <w:r>
        <w:rPr>
          <w:color w:val="000000"/>
          <w:sz w:val="21"/>
          <w:szCs w:val="21"/>
        </w:rPr>
        <w:t xml:space="preserve"> (у </w:t>
      </w:r>
      <w:proofErr w:type="spellStart"/>
      <w:r>
        <w:rPr>
          <w:color w:val="000000"/>
          <w:sz w:val="21"/>
          <w:szCs w:val="21"/>
        </w:rPr>
        <w:t>даљем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тексту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моторна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возила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домаће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регистрације</w:t>
      </w:r>
      <w:proofErr w:type="spellEnd"/>
      <w:r>
        <w:rPr>
          <w:color w:val="000000"/>
          <w:sz w:val="21"/>
          <w:szCs w:val="21"/>
        </w:rPr>
        <w:t>),</w:t>
      </w:r>
    </w:p>
    <w:p w:rsidR="004E47FC" w:rsidRDefault="004E47FC" w:rsidP="004E47FC">
      <w:pPr>
        <w:pStyle w:val="normaluvuceni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proofErr w:type="spellStart"/>
      <w:proofErr w:type="gramStart"/>
      <w:r>
        <w:rPr>
          <w:color w:val="000000"/>
          <w:sz w:val="21"/>
          <w:szCs w:val="21"/>
        </w:rPr>
        <w:t>за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моторна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возила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стране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регистрације</w:t>
      </w:r>
      <w:proofErr w:type="spellEnd"/>
      <w:r>
        <w:rPr>
          <w:color w:val="000000"/>
          <w:sz w:val="21"/>
          <w:szCs w:val="21"/>
        </w:rPr>
        <w:t>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Накнада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утврђује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наплаћује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Накнада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обрачунава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еврима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наплаћује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важећем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средњем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Усклађивање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промени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средњег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+/- 3%.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приликом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обрачуна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заокружују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,01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4,99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0,00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5,00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9,99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Наплата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вршити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ефективном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врстама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прописаним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врстама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ефективног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купују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продају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девизном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тржишту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РС",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67/06 и 116/06).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посебне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ове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зависности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категорије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карактеристичне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деонице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wyq100---naslov-grupe-clanova-kurziv"/>
        <w:rPr>
          <w:color w:val="000000"/>
        </w:rPr>
      </w:pPr>
      <w:bookmarkStart w:id="0" w:name="str_1"/>
      <w:bookmarkEnd w:id="0"/>
      <w:r>
        <w:rPr>
          <w:b w:val="0"/>
          <w:bCs w:val="0"/>
          <w:i w:val="0"/>
          <w:iCs w:val="0"/>
          <w:color w:val="000000"/>
        </w:rPr>
        <w:t xml:space="preserve">1. </w:t>
      </w:r>
      <w:proofErr w:type="spellStart"/>
      <w:r>
        <w:rPr>
          <w:b w:val="0"/>
          <w:bCs w:val="0"/>
          <w:i w:val="0"/>
          <w:iCs w:val="0"/>
          <w:color w:val="000000"/>
        </w:rPr>
        <w:t>За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деоницу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: </w:t>
      </w:r>
      <w:proofErr w:type="spellStart"/>
      <w:r>
        <w:rPr>
          <w:b w:val="0"/>
          <w:bCs w:val="0"/>
          <w:i w:val="0"/>
          <w:iCs w:val="0"/>
          <w:color w:val="000000"/>
        </w:rPr>
        <w:t>Београд-Ниш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(</w:t>
      </w:r>
      <w:proofErr w:type="spellStart"/>
      <w:r>
        <w:rPr>
          <w:b w:val="0"/>
          <w:bCs w:val="0"/>
          <w:i w:val="0"/>
          <w:iCs w:val="0"/>
          <w:color w:val="000000"/>
        </w:rPr>
        <w:t>затворен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систем</w:t>
      </w:r>
      <w:proofErr w:type="spellEnd"/>
      <w:r>
        <w:rPr>
          <w:b w:val="0"/>
          <w:bCs w:val="0"/>
          <w:i w:val="0"/>
          <w:iCs w:val="0"/>
          <w:color w:val="000000"/>
        </w:rPr>
        <w:t>)</w:t>
      </w:r>
      <w:r>
        <w:rPr>
          <w:rStyle w:val="apple-converted-space"/>
          <w:b w:val="0"/>
          <w:bCs w:val="0"/>
          <w:i w:val="0"/>
          <w:iCs w:val="0"/>
          <w:color w:val="000000"/>
        </w:rPr>
        <w:t> </w:t>
      </w:r>
    </w:p>
    <w:tbl>
      <w:tblPr>
        <w:tblW w:w="9916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2"/>
        <w:gridCol w:w="1237"/>
        <w:gridCol w:w="1237"/>
        <w:gridCol w:w="1500"/>
        <w:gridCol w:w="1500"/>
        <w:gridCol w:w="1500"/>
      </w:tblGrid>
      <w:tr w:rsidR="004E47FC" w:rsidTr="004E47FC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1.210,00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2.410,00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4.830,00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wyq100---naslov-grupe-clanova-kurziv"/>
        <w:rPr>
          <w:color w:val="000000"/>
        </w:rPr>
      </w:pPr>
      <w:bookmarkStart w:id="1" w:name="str_2"/>
      <w:bookmarkEnd w:id="1"/>
      <w:r>
        <w:rPr>
          <w:b w:val="0"/>
          <w:bCs w:val="0"/>
          <w:i w:val="0"/>
          <w:iCs w:val="0"/>
          <w:color w:val="000000"/>
        </w:rPr>
        <w:t xml:space="preserve">2. </w:t>
      </w:r>
      <w:proofErr w:type="spellStart"/>
      <w:r>
        <w:rPr>
          <w:b w:val="0"/>
          <w:bCs w:val="0"/>
          <w:i w:val="0"/>
          <w:iCs w:val="0"/>
          <w:color w:val="000000"/>
        </w:rPr>
        <w:t>За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деоницу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: </w:t>
      </w:r>
      <w:proofErr w:type="spellStart"/>
      <w:r>
        <w:rPr>
          <w:b w:val="0"/>
          <w:bCs w:val="0"/>
          <w:i w:val="0"/>
          <w:iCs w:val="0"/>
          <w:color w:val="000000"/>
        </w:rPr>
        <w:t>Београд-Шид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(</w:t>
      </w:r>
      <w:proofErr w:type="spellStart"/>
      <w:r>
        <w:rPr>
          <w:b w:val="0"/>
          <w:bCs w:val="0"/>
          <w:i w:val="0"/>
          <w:iCs w:val="0"/>
          <w:color w:val="000000"/>
        </w:rPr>
        <w:t>затворен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систем</w:t>
      </w:r>
      <w:proofErr w:type="spellEnd"/>
      <w:r>
        <w:rPr>
          <w:b w:val="0"/>
          <w:bCs w:val="0"/>
          <w:i w:val="0"/>
          <w:iCs w:val="0"/>
          <w:color w:val="000000"/>
        </w:rPr>
        <w:t>)</w:t>
      </w:r>
      <w:r>
        <w:rPr>
          <w:rStyle w:val="apple-converted-space"/>
          <w:b w:val="0"/>
          <w:bCs w:val="0"/>
          <w:i w:val="0"/>
          <w:iCs w:val="0"/>
          <w:color w:val="000000"/>
        </w:rPr>
        <w:t> </w:t>
      </w:r>
    </w:p>
    <w:tbl>
      <w:tblPr>
        <w:tblW w:w="9948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1"/>
        <w:gridCol w:w="1275"/>
        <w:gridCol w:w="1275"/>
        <w:gridCol w:w="1275"/>
        <w:gridCol w:w="1546"/>
        <w:gridCol w:w="1546"/>
      </w:tblGrid>
      <w:tr w:rsidR="004E47FC" w:rsidTr="004E47FC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1.130,00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2.260,00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wyq100---naslov-grupe-clanova-kurziv"/>
        <w:rPr>
          <w:color w:val="000000"/>
        </w:rPr>
      </w:pPr>
      <w:bookmarkStart w:id="2" w:name="str_3"/>
      <w:bookmarkEnd w:id="2"/>
      <w:r>
        <w:rPr>
          <w:b w:val="0"/>
          <w:bCs w:val="0"/>
          <w:i w:val="0"/>
          <w:iCs w:val="0"/>
          <w:color w:val="000000"/>
        </w:rPr>
        <w:lastRenderedPageBreak/>
        <w:t xml:space="preserve">3. </w:t>
      </w:r>
      <w:proofErr w:type="spellStart"/>
      <w:r>
        <w:rPr>
          <w:b w:val="0"/>
          <w:bCs w:val="0"/>
          <w:i w:val="0"/>
          <w:iCs w:val="0"/>
          <w:color w:val="000000"/>
        </w:rPr>
        <w:t>За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деоницу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: </w:t>
      </w:r>
      <w:proofErr w:type="spellStart"/>
      <w:r>
        <w:rPr>
          <w:b w:val="0"/>
          <w:bCs w:val="0"/>
          <w:i w:val="0"/>
          <w:iCs w:val="0"/>
          <w:color w:val="000000"/>
        </w:rPr>
        <w:t>Београд-Суботица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(</w:t>
      </w:r>
      <w:proofErr w:type="spellStart"/>
      <w:r>
        <w:rPr>
          <w:b w:val="0"/>
          <w:bCs w:val="0"/>
          <w:i w:val="0"/>
          <w:iCs w:val="0"/>
          <w:color w:val="000000"/>
        </w:rPr>
        <w:t>затворен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систем</w:t>
      </w:r>
      <w:proofErr w:type="spellEnd"/>
      <w:r>
        <w:rPr>
          <w:b w:val="0"/>
          <w:bCs w:val="0"/>
          <w:i w:val="0"/>
          <w:iCs w:val="0"/>
          <w:color w:val="000000"/>
        </w:rPr>
        <w:t>)</w:t>
      </w:r>
      <w:r>
        <w:rPr>
          <w:rStyle w:val="apple-converted-space"/>
          <w:b w:val="0"/>
          <w:bCs w:val="0"/>
          <w:i w:val="0"/>
          <w:iCs w:val="0"/>
          <w:color w:val="000000"/>
        </w:rPr>
        <w:t> </w:t>
      </w:r>
    </w:p>
    <w:tbl>
      <w:tblPr>
        <w:tblW w:w="9997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6"/>
        <w:gridCol w:w="1281"/>
        <w:gridCol w:w="1281"/>
        <w:gridCol w:w="1281"/>
        <w:gridCol w:w="1554"/>
        <w:gridCol w:w="1554"/>
      </w:tblGrid>
      <w:tr w:rsidR="004E47FC" w:rsidTr="004E47FC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ИА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II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III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IV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3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280,00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560,00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840,00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1.670,00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3.340,00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wyq100---naslov-grupe-clanova-kurziv"/>
        <w:rPr>
          <w:color w:val="000000"/>
        </w:rPr>
      </w:pPr>
      <w:bookmarkStart w:id="3" w:name="str_4"/>
      <w:bookmarkEnd w:id="3"/>
      <w:r>
        <w:rPr>
          <w:b w:val="0"/>
          <w:bCs w:val="0"/>
          <w:i w:val="0"/>
          <w:iCs w:val="0"/>
          <w:color w:val="000000"/>
        </w:rPr>
        <w:t xml:space="preserve">4. </w:t>
      </w:r>
      <w:proofErr w:type="spellStart"/>
      <w:r>
        <w:rPr>
          <w:b w:val="0"/>
          <w:bCs w:val="0"/>
          <w:i w:val="0"/>
          <w:iCs w:val="0"/>
          <w:color w:val="000000"/>
        </w:rPr>
        <w:t>За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деоницу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: </w:t>
      </w:r>
      <w:proofErr w:type="spellStart"/>
      <w:r>
        <w:rPr>
          <w:b w:val="0"/>
          <w:bCs w:val="0"/>
          <w:i w:val="0"/>
          <w:iCs w:val="0"/>
          <w:color w:val="000000"/>
        </w:rPr>
        <w:t>Ниш-Прешево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(</w:t>
      </w:r>
      <w:proofErr w:type="spellStart"/>
      <w:r>
        <w:rPr>
          <w:b w:val="0"/>
          <w:bCs w:val="0"/>
          <w:i w:val="0"/>
          <w:iCs w:val="0"/>
          <w:color w:val="000000"/>
        </w:rPr>
        <w:t>отворен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систем</w:t>
      </w:r>
      <w:proofErr w:type="spellEnd"/>
      <w:r>
        <w:rPr>
          <w:b w:val="0"/>
          <w:bCs w:val="0"/>
          <w:i w:val="0"/>
          <w:iCs w:val="0"/>
          <w:color w:val="000000"/>
        </w:rPr>
        <w:t>)</w:t>
      </w:r>
    </w:p>
    <w:p w:rsidR="004E47FC" w:rsidRDefault="004E47FC" w:rsidP="004E47FC">
      <w:pPr>
        <w:pStyle w:val="wyq110---naslov-clana"/>
        <w:rPr>
          <w:b w:val="0"/>
          <w:bCs w:val="0"/>
          <w:color w:val="000000"/>
        </w:rPr>
      </w:pPr>
      <w:bookmarkStart w:id="4" w:name="str_5"/>
      <w:bookmarkEnd w:id="4"/>
      <w:proofErr w:type="spellStart"/>
      <w:r>
        <w:rPr>
          <w:b w:val="0"/>
          <w:bCs w:val="0"/>
          <w:color w:val="000000"/>
        </w:rPr>
        <w:t>Наплатне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станице</w:t>
      </w:r>
      <w:proofErr w:type="spellEnd"/>
      <w:r>
        <w:rPr>
          <w:b w:val="0"/>
          <w:bCs w:val="0"/>
          <w:color w:val="000000"/>
        </w:rPr>
        <w:t xml:space="preserve">: </w:t>
      </w:r>
      <w:proofErr w:type="spellStart"/>
      <w:r>
        <w:rPr>
          <w:b w:val="0"/>
          <w:bCs w:val="0"/>
          <w:color w:val="000000"/>
        </w:rPr>
        <w:t>Дољевац</w:t>
      </w:r>
      <w:proofErr w:type="spellEnd"/>
      <w:r>
        <w:rPr>
          <w:b w:val="0"/>
          <w:bCs w:val="0"/>
          <w:color w:val="000000"/>
        </w:rPr>
        <w:t xml:space="preserve">, </w:t>
      </w:r>
      <w:proofErr w:type="spellStart"/>
      <w:r>
        <w:rPr>
          <w:b w:val="0"/>
          <w:bCs w:val="0"/>
          <w:color w:val="000000"/>
        </w:rPr>
        <w:t>Дољевац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село</w:t>
      </w:r>
      <w:proofErr w:type="spellEnd"/>
      <w:r>
        <w:rPr>
          <w:b w:val="0"/>
          <w:bCs w:val="0"/>
          <w:color w:val="000000"/>
        </w:rPr>
        <w:t xml:space="preserve"> и </w:t>
      </w:r>
      <w:proofErr w:type="spellStart"/>
      <w:r>
        <w:rPr>
          <w:b w:val="0"/>
          <w:bCs w:val="0"/>
          <w:color w:val="000000"/>
        </w:rPr>
        <w:t>Брестовац</w:t>
      </w:r>
      <w:proofErr w:type="spellEnd"/>
      <w:r>
        <w:rPr>
          <w:rStyle w:val="apple-converted-space"/>
          <w:b w:val="0"/>
          <w:bCs w:val="0"/>
          <w:color w:val="000000"/>
        </w:rPr>
        <w:t> </w:t>
      </w:r>
    </w:p>
    <w:tbl>
      <w:tblPr>
        <w:tblW w:w="10031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4"/>
        <w:gridCol w:w="1321"/>
        <w:gridCol w:w="1321"/>
        <w:gridCol w:w="1321"/>
        <w:gridCol w:w="1321"/>
        <w:gridCol w:w="1603"/>
      </w:tblGrid>
      <w:tr w:rsidR="004E47FC" w:rsidTr="004E47FC">
        <w:trPr>
          <w:trHeight w:val="2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1.260,00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wyq110---naslov-clana"/>
        <w:rPr>
          <w:color w:val="000000"/>
        </w:rPr>
      </w:pPr>
      <w:bookmarkStart w:id="5" w:name="str_6"/>
      <w:bookmarkEnd w:id="5"/>
      <w:proofErr w:type="spellStart"/>
      <w:r>
        <w:rPr>
          <w:b w:val="0"/>
          <w:bCs w:val="0"/>
          <w:color w:val="000000"/>
        </w:rPr>
        <w:t>Наплатна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станица</w:t>
      </w:r>
      <w:proofErr w:type="spellEnd"/>
      <w:r>
        <w:rPr>
          <w:b w:val="0"/>
          <w:bCs w:val="0"/>
          <w:color w:val="000000"/>
        </w:rPr>
        <w:t xml:space="preserve">: </w:t>
      </w:r>
      <w:proofErr w:type="spellStart"/>
      <w:r>
        <w:rPr>
          <w:b w:val="0"/>
          <w:bCs w:val="0"/>
          <w:color w:val="000000"/>
        </w:rPr>
        <w:t>Прешево</w:t>
      </w:r>
      <w:proofErr w:type="spellEnd"/>
      <w:r>
        <w:rPr>
          <w:rStyle w:val="apple-converted-space"/>
          <w:b w:val="0"/>
          <w:bCs w:val="0"/>
          <w:color w:val="000000"/>
        </w:rPr>
        <w:t> </w:t>
      </w:r>
    </w:p>
    <w:tbl>
      <w:tblPr>
        <w:tblW w:w="10080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1"/>
        <w:gridCol w:w="1218"/>
        <w:gridCol w:w="1218"/>
        <w:gridCol w:w="1421"/>
        <w:gridCol w:w="1421"/>
        <w:gridCol w:w="1421"/>
      </w:tblGrid>
      <w:tr w:rsidR="004E47FC" w:rsidTr="004E47FC">
        <w:trPr>
          <w:trHeight w:val="1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wyq100---naslov-grupe-clanova-kurziv"/>
        <w:rPr>
          <w:color w:val="000000"/>
        </w:rPr>
      </w:pPr>
      <w:bookmarkStart w:id="6" w:name="str_7"/>
      <w:bookmarkEnd w:id="6"/>
      <w:r>
        <w:rPr>
          <w:b w:val="0"/>
          <w:bCs w:val="0"/>
          <w:i w:val="0"/>
          <w:iCs w:val="0"/>
          <w:color w:val="000000"/>
        </w:rPr>
        <w:t xml:space="preserve">5. </w:t>
      </w:r>
      <w:proofErr w:type="spellStart"/>
      <w:r>
        <w:rPr>
          <w:b w:val="0"/>
          <w:bCs w:val="0"/>
          <w:i w:val="0"/>
          <w:iCs w:val="0"/>
          <w:color w:val="000000"/>
        </w:rPr>
        <w:t>За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деоницу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: </w:t>
      </w:r>
      <w:proofErr w:type="spellStart"/>
      <w:r>
        <w:rPr>
          <w:b w:val="0"/>
          <w:bCs w:val="0"/>
          <w:i w:val="0"/>
          <w:iCs w:val="0"/>
          <w:color w:val="000000"/>
        </w:rPr>
        <w:t>Љиг-Прељина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(</w:t>
      </w:r>
      <w:proofErr w:type="spellStart"/>
      <w:r>
        <w:rPr>
          <w:b w:val="0"/>
          <w:bCs w:val="0"/>
          <w:i w:val="0"/>
          <w:iCs w:val="0"/>
          <w:color w:val="000000"/>
        </w:rPr>
        <w:t>отворен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систем</w:t>
      </w:r>
      <w:proofErr w:type="spellEnd"/>
      <w:r>
        <w:rPr>
          <w:b w:val="0"/>
          <w:bCs w:val="0"/>
          <w:i w:val="0"/>
          <w:iCs w:val="0"/>
          <w:color w:val="000000"/>
        </w:rPr>
        <w:t>)</w:t>
      </w:r>
      <w:r>
        <w:rPr>
          <w:rStyle w:val="apple-converted-space"/>
          <w:b w:val="0"/>
          <w:bCs w:val="0"/>
          <w:i w:val="0"/>
          <w:iCs w:val="0"/>
          <w:color w:val="000000"/>
        </w:rPr>
        <w:t> </w:t>
      </w:r>
    </w:p>
    <w:p w:rsidR="004E47FC" w:rsidRDefault="004E47FC" w:rsidP="004E47FC">
      <w:pPr>
        <w:pStyle w:val="wyq110---naslov-clana"/>
        <w:rPr>
          <w:b w:val="0"/>
          <w:bCs w:val="0"/>
          <w:color w:val="000000"/>
        </w:rPr>
      </w:pPr>
      <w:bookmarkStart w:id="7" w:name="str_8"/>
      <w:bookmarkEnd w:id="7"/>
      <w:proofErr w:type="spellStart"/>
      <w:r>
        <w:rPr>
          <w:b w:val="0"/>
          <w:bCs w:val="0"/>
          <w:color w:val="000000"/>
        </w:rPr>
        <w:t>Наплатна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станица</w:t>
      </w:r>
      <w:proofErr w:type="spellEnd"/>
      <w:r>
        <w:rPr>
          <w:b w:val="0"/>
          <w:bCs w:val="0"/>
          <w:color w:val="000000"/>
        </w:rPr>
        <w:t xml:space="preserve">: </w:t>
      </w:r>
      <w:proofErr w:type="spellStart"/>
      <w:r>
        <w:rPr>
          <w:b w:val="0"/>
          <w:bCs w:val="0"/>
          <w:color w:val="000000"/>
        </w:rPr>
        <w:t>Таково</w:t>
      </w:r>
      <w:proofErr w:type="spellEnd"/>
      <w:r>
        <w:rPr>
          <w:rStyle w:val="apple-converted-space"/>
          <w:b w:val="0"/>
          <w:bCs w:val="0"/>
          <w:color w:val="000000"/>
        </w:rPr>
        <w:t> </w:t>
      </w:r>
    </w:p>
    <w:tbl>
      <w:tblPr>
        <w:tblW w:w="10096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87"/>
        <w:gridCol w:w="1220"/>
        <w:gridCol w:w="1220"/>
        <w:gridCol w:w="1423"/>
        <w:gridCol w:w="1423"/>
        <w:gridCol w:w="1423"/>
      </w:tblGrid>
      <w:tr w:rsidR="004E47FC" w:rsidTr="004E47FC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wyq110---naslov-clana"/>
        <w:rPr>
          <w:color w:val="000000"/>
        </w:rPr>
      </w:pPr>
      <w:bookmarkStart w:id="8" w:name="str_9"/>
      <w:bookmarkEnd w:id="8"/>
      <w:proofErr w:type="spellStart"/>
      <w:r>
        <w:rPr>
          <w:b w:val="0"/>
          <w:bCs w:val="0"/>
          <w:color w:val="000000"/>
        </w:rPr>
        <w:t>Наплатна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станица</w:t>
      </w:r>
      <w:proofErr w:type="spellEnd"/>
      <w:r>
        <w:rPr>
          <w:b w:val="0"/>
          <w:bCs w:val="0"/>
          <w:color w:val="000000"/>
        </w:rPr>
        <w:t xml:space="preserve">: </w:t>
      </w:r>
      <w:proofErr w:type="spellStart"/>
      <w:r>
        <w:rPr>
          <w:b w:val="0"/>
          <w:bCs w:val="0"/>
          <w:color w:val="000000"/>
        </w:rPr>
        <w:t>Прељина</w:t>
      </w:r>
      <w:proofErr w:type="spellEnd"/>
      <w:r>
        <w:rPr>
          <w:rStyle w:val="apple-converted-space"/>
          <w:b w:val="0"/>
          <w:bCs w:val="0"/>
          <w:color w:val="000000"/>
        </w:rPr>
        <w:t> </w:t>
      </w:r>
    </w:p>
    <w:tbl>
      <w:tblPr>
        <w:tblW w:w="10095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9"/>
        <w:gridCol w:w="1196"/>
        <w:gridCol w:w="1395"/>
        <w:gridCol w:w="1395"/>
        <w:gridCol w:w="1395"/>
        <w:gridCol w:w="1395"/>
      </w:tblGrid>
      <w:tr w:rsidR="004E47FC" w:rsidTr="004E47F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Корисник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Прељине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утврђени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станици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Прељина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правац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Прељина-Љиг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искључи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станици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остварује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признаницу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плаћеној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бесплатан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пролазак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уколико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евидентирати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пролазак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wyq100---naslov-grupe-clanova-kurziv"/>
        <w:rPr>
          <w:color w:val="000000"/>
        </w:rPr>
      </w:pPr>
      <w:bookmarkStart w:id="9" w:name="str_10"/>
      <w:bookmarkEnd w:id="9"/>
      <w:r>
        <w:rPr>
          <w:b w:val="0"/>
          <w:bCs w:val="0"/>
          <w:i w:val="0"/>
          <w:iCs w:val="0"/>
          <w:color w:val="000000"/>
        </w:rPr>
        <w:t xml:space="preserve">6. </w:t>
      </w:r>
      <w:proofErr w:type="spellStart"/>
      <w:r>
        <w:rPr>
          <w:b w:val="0"/>
          <w:bCs w:val="0"/>
          <w:i w:val="0"/>
          <w:iCs w:val="0"/>
          <w:color w:val="000000"/>
        </w:rPr>
        <w:t>За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деоницу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</w:t>
      </w:r>
      <w:proofErr w:type="spellStart"/>
      <w:r>
        <w:rPr>
          <w:b w:val="0"/>
          <w:bCs w:val="0"/>
          <w:i w:val="0"/>
          <w:iCs w:val="0"/>
          <w:color w:val="000000"/>
        </w:rPr>
        <w:t>Ниш-Димитровград</w:t>
      </w:r>
      <w:proofErr w:type="spellEnd"/>
      <w:r>
        <w:rPr>
          <w:rStyle w:val="apple-converted-space"/>
          <w:b w:val="0"/>
          <w:bCs w:val="0"/>
          <w:i w:val="0"/>
          <w:iCs w:val="0"/>
          <w:color w:val="000000"/>
        </w:rPr>
        <w:t> </w:t>
      </w:r>
    </w:p>
    <w:p w:rsidR="004E47FC" w:rsidRDefault="004E47FC" w:rsidP="004E47FC">
      <w:pPr>
        <w:pStyle w:val="wyq110---naslov-clana"/>
        <w:rPr>
          <w:b w:val="0"/>
          <w:bCs w:val="0"/>
          <w:color w:val="000000"/>
        </w:rPr>
      </w:pPr>
      <w:bookmarkStart w:id="10" w:name="str_11"/>
      <w:bookmarkEnd w:id="10"/>
      <w:proofErr w:type="spellStart"/>
      <w:r>
        <w:rPr>
          <w:b w:val="0"/>
          <w:bCs w:val="0"/>
          <w:color w:val="000000"/>
        </w:rPr>
        <w:t>Наплатна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станица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Димитровград</w:t>
      </w:r>
      <w:proofErr w:type="spellEnd"/>
      <w:r>
        <w:rPr>
          <w:rStyle w:val="apple-converted-space"/>
          <w:b w:val="0"/>
          <w:bCs w:val="0"/>
          <w:color w:val="000000"/>
        </w:rPr>
        <w:t> </w:t>
      </w:r>
    </w:p>
    <w:tbl>
      <w:tblPr>
        <w:tblW w:w="10128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3"/>
        <w:gridCol w:w="1166"/>
        <w:gridCol w:w="1360"/>
        <w:gridCol w:w="1360"/>
        <w:gridCol w:w="1360"/>
        <w:gridCol w:w="1649"/>
      </w:tblGrid>
      <w:tr w:rsidR="004E47FC" w:rsidTr="004E47FC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категорија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возила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Износ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динарима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1.120,00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Трошкови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ванредног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поступка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350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,00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Путарина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(РСД),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могуће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еврима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(ЕУР),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случајевима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условима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наплаћивања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уплата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исплата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ефективном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РС",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51/15, 3/16, 29/16, 91/16 и 24/17).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посебне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остале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деонице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утврђује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начин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тачке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ове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ове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одговарајућу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категорију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физичка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куповином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годишње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Месечна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годишња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купују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деоницу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обрачунава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одређену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деоницу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множи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бројем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40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назначени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годишње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обрачунава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одређену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деоницу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множи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бројем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400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издавања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Месечна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годишња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издаје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предузеће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садржи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деоницу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аутопута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категорију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регистарски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време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важења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Пољопривредници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који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уписани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пољопривредних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газдинства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Уредбом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пољопривредних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газдинства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45/04 и 139/04),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остварити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попуст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годишњу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претплатну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10%.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Брисана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ове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станицама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предузећа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домаће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вршити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Таг-ова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куповину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уплатом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рачун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ЈП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10.000,00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остварује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попуст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tbl>
      <w:tblPr>
        <w:tblW w:w="10016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91"/>
        <w:gridCol w:w="3825"/>
      </w:tblGrid>
      <w:tr w:rsidR="004E47FC" w:rsidTr="004E47FC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Вредност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авансне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уплате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унете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Таг</w:t>
            </w:r>
            <w:proofErr w:type="spellEnd"/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Попуст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унети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износ</w:t>
            </w:r>
            <w:proofErr w:type="spellEnd"/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10.000,00-25.000,00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4%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25.001,00-50.000,00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6%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50.001,00-100.000,00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8%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  <w:tr w:rsidR="004E47FC" w:rsidTr="004E47FC">
        <w:trPr>
          <w:trHeight w:val="2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100.001,00 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више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7FC" w:rsidRDefault="004E47FC">
            <w:pPr>
              <w:pStyle w:val="normalcenta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10%</w:t>
            </w:r>
            <w:r>
              <w:rPr>
                <w:rStyle w:val="apple-converted-space"/>
                <w:sz w:val="21"/>
                <w:szCs w:val="21"/>
              </w:rPr>
              <w:t> </w:t>
            </w:r>
          </w:p>
        </w:tc>
      </w:tr>
    </w:tbl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Куповина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допуне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пуњења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ТАГ-а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попуста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извршити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обележеним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каналима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станице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Вредност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минималне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допуне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2,000.00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динара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Куповина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11" w:name="_GoBack"/>
      <w:bookmarkEnd w:id="11"/>
      <w:proofErr w:type="spellStart"/>
      <w:r>
        <w:rPr>
          <w:rFonts w:ascii="Arial" w:hAnsi="Arial" w:cs="Arial"/>
          <w:color w:val="000000"/>
          <w:sz w:val="21"/>
          <w:szCs w:val="21"/>
        </w:rPr>
        <w:t>допуне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пуњења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ТАГ-а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дозвољена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каналима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6в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Плаћање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домаћих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регистрација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вршити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Таг-ова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постпејд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систему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испостављених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рачуна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остварено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коришћење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претходно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закључен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уговор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Јавним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предузећем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Путеви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достављене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неопозиве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банкарске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гаранције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минималним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Уплатом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месечног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износа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реализоване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електронској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наплати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путарине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уговореном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једног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Таг-ова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остварује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попуст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5%.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ступања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престаје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посебне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накнаде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употребу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његовог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путног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објекта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број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56/05).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добијању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сагласности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ступа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јула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2006.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prored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4E47FC" w:rsidRDefault="004E47FC" w:rsidP="004E47FC">
      <w:pPr>
        <w:pStyle w:val="samostalni"/>
        <w:jc w:val="center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Самостална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одредба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допунама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висини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посебне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накнаде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за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употребу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јавног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његовог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дела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објекта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путарина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</w:p>
    <w:p w:rsidR="004E47FC" w:rsidRDefault="004E47FC" w:rsidP="004E47FC">
      <w:pPr>
        <w:pStyle w:val="samostalni1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("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РС",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42/2007)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добијању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сагласности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ступа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наредног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normalprored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4E47FC" w:rsidRDefault="004E47FC" w:rsidP="004E47FC">
      <w:pPr>
        <w:pStyle w:val="samostalni"/>
        <w:jc w:val="center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Самостална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одредба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измени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висини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посебне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накнаде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за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употребу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јавног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његовог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дела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објекта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путарина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</w:p>
    <w:p w:rsidR="004E47FC" w:rsidRDefault="004E47FC" w:rsidP="004E47FC">
      <w:pPr>
        <w:pStyle w:val="samostalni1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("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РС",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12/2009)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добијању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сагласности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ступа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4E47FC" w:rsidRDefault="004E47FC" w:rsidP="004E47FC">
      <w:pPr>
        <w:pStyle w:val="normalprored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4E47FC" w:rsidRDefault="004E47FC" w:rsidP="004E47FC">
      <w:pPr>
        <w:pStyle w:val="samostalni"/>
        <w:jc w:val="center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Самостална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одредба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изменама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висини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посебне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накнаде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за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употребу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јавног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његовог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дела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објекта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путарина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</w:p>
    <w:p w:rsidR="004E47FC" w:rsidRDefault="004E47FC" w:rsidP="004E47FC">
      <w:pPr>
        <w:pStyle w:val="samostalni1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("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РС",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93/2015)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добијању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сагласности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ступа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E47FC" w:rsidRDefault="004E47FC" w:rsidP="004E47FC">
      <w:pPr>
        <w:pStyle w:val="samostalni"/>
        <w:jc w:val="center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Самостална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одредба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измени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Одлуке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о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висини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посебне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накнаде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за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употребу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јавног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његовог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дела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путног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објекта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путарина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</w:p>
    <w:p w:rsidR="004E47FC" w:rsidRDefault="004E47FC" w:rsidP="004E47FC">
      <w:pPr>
        <w:pStyle w:val="samostalni1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("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Сл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гласник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РС",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бр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 95/2016)</w:t>
      </w:r>
    </w:p>
    <w:p w:rsidR="004E47FC" w:rsidRDefault="004E47FC" w:rsidP="004E47FC">
      <w:pPr>
        <w:pStyle w:val="normal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одлука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добијању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сагласности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објављује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Службеном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гласнику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Републике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Србије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ступа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објављивања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2633E" w:rsidRPr="004E47FC" w:rsidRDefault="0032633E" w:rsidP="004E47FC"/>
    <w:sectPr w:rsidR="0032633E" w:rsidRPr="004E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82"/>
    <w:rsid w:val="0032633E"/>
    <w:rsid w:val="004E47FC"/>
    <w:rsid w:val="00A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34D-A5DB-4C5E-A233-30C6058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2608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2608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A2608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A2608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2608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260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A2608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A2608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E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47FC"/>
  </w:style>
  <w:style w:type="paragraph" w:customStyle="1" w:styleId="normalprored">
    <w:name w:val="normalprored"/>
    <w:basedOn w:val="Normal"/>
    <w:rsid w:val="004E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4E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4E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2017-10-23T07:14:00Z</dcterms:created>
  <dcterms:modified xsi:type="dcterms:W3CDTF">2018-02-19T10:38:00Z</dcterms:modified>
</cp:coreProperties>
</file>